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DB" w:rsidRPr="00D107F9" w:rsidRDefault="00DC5C4E" w:rsidP="00A23390">
      <w:pPr>
        <w:widowControl w:val="0"/>
        <w:spacing w:before="100" w:beforeAutospacing="1" w:after="100" w:afterAutospacing="1" w:line="360" w:lineRule="auto"/>
        <w:ind w:right="-164"/>
        <w:jc w:val="both"/>
        <w:rPr>
          <w:rFonts w:ascii="Palatino Linotype" w:eastAsia="Calibri" w:hAnsi="Palatino Linotype" w:cs="Arial"/>
          <w:b/>
          <w:color w:val="000000"/>
        </w:rPr>
      </w:pPr>
      <w:r w:rsidRPr="00C8035B">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8B22AB">
        <w:rPr>
          <w:rFonts w:ascii="Palatino Linotype" w:hAnsi="Palatino Linotype" w:cs="Arial"/>
          <w:b/>
        </w:rPr>
        <w:t>O DE MÉXICO Y MUNICIPIOS, EN LA</w:t>
      </w:r>
      <w:r w:rsidR="005779CE">
        <w:rPr>
          <w:rFonts w:ascii="Palatino Linotype" w:hAnsi="Palatino Linotype" w:cs="Arial"/>
          <w:b/>
        </w:rPr>
        <w:t xml:space="preserve"> </w:t>
      </w:r>
      <w:r w:rsidR="008B6129">
        <w:rPr>
          <w:rFonts w:ascii="Palatino Linotype" w:hAnsi="Palatino Linotype" w:cs="Arial"/>
          <w:b/>
        </w:rPr>
        <w:t>CUADRAGÉSIMA</w:t>
      </w:r>
      <w:r w:rsidR="00C8035B" w:rsidRPr="00C8035B">
        <w:rPr>
          <w:rFonts w:ascii="Palatino Linotype" w:hAnsi="Palatino Linotype" w:cs="Arial"/>
          <w:b/>
        </w:rPr>
        <w:t xml:space="preserve"> </w:t>
      </w:r>
      <w:r w:rsidRPr="00C8035B">
        <w:rPr>
          <w:rFonts w:ascii="Palatino Linotype" w:hAnsi="Palatino Linotype" w:cs="Arial"/>
          <w:b/>
        </w:rPr>
        <w:t xml:space="preserve">SESIÓN ORDINARIA DE </w:t>
      </w:r>
      <w:r w:rsidR="008B6129">
        <w:rPr>
          <w:rFonts w:ascii="Palatino Linotype" w:hAnsi="Palatino Linotype" w:cs="Arial"/>
          <w:b/>
        </w:rPr>
        <w:t>TREINTA Y UNO DE OCTUBRE</w:t>
      </w:r>
      <w:r w:rsidR="00174F2A" w:rsidRPr="00C8035B">
        <w:rPr>
          <w:rFonts w:ascii="Palatino Linotype" w:hAnsi="Palatino Linotype" w:cs="Arial"/>
          <w:b/>
        </w:rPr>
        <w:t xml:space="preserve"> </w:t>
      </w:r>
      <w:r w:rsidR="008B22AB">
        <w:rPr>
          <w:rFonts w:ascii="Palatino Linotype" w:hAnsi="Palatino Linotype" w:cs="Arial"/>
          <w:b/>
        </w:rPr>
        <w:t>DE DOS MIL DIECIOCHO</w:t>
      </w:r>
      <w:r w:rsidR="008B6129">
        <w:rPr>
          <w:rFonts w:ascii="Palatino Linotype" w:hAnsi="Palatino Linotype" w:cs="Arial"/>
          <w:b/>
        </w:rPr>
        <w:t xml:space="preserve">, </w:t>
      </w:r>
      <w:r w:rsidR="00C9510C">
        <w:rPr>
          <w:rFonts w:ascii="Palatino Linotype" w:hAnsi="Palatino Linotype" w:cs="Arial"/>
          <w:b/>
        </w:rPr>
        <w:t xml:space="preserve">EN LOS RECURSOS DE REVISIÓN </w:t>
      </w:r>
      <w:r w:rsidR="00C13981">
        <w:rPr>
          <w:rFonts w:ascii="Palatino Linotype" w:hAnsi="Palatino Linotype" w:cs="Arial"/>
          <w:b/>
        </w:rPr>
        <w:t xml:space="preserve"> </w:t>
      </w:r>
      <w:r w:rsidR="00C9510C">
        <w:rPr>
          <w:rFonts w:ascii="Palatino Linotype" w:hAnsi="Palatino Linotype" w:cs="Arial"/>
          <w:b/>
        </w:rPr>
        <w:t>ACUMULADOS</w:t>
      </w:r>
      <w:r w:rsidR="00C13981">
        <w:rPr>
          <w:rFonts w:ascii="Palatino Linotype" w:hAnsi="Palatino Linotype" w:cs="Arial"/>
          <w:b/>
        </w:rPr>
        <w:t xml:space="preserve"> </w:t>
      </w:r>
      <w:r w:rsidR="00C9510C" w:rsidRPr="00C9510C">
        <w:rPr>
          <w:rFonts w:ascii="Palatino Linotype" w:hAnsi="Palatino Linotype" w:cs="Arial"/>
          <w:b/>
        </w:rPr>
        <w:t>3108/INFOEM/IP/RR/2018, 3141/INFOEM/IP/R</w:t>
      </w:r>
      <w:r w:rsidR="00C9510C">
        <w:rPr>
          <w:rFonts w:ascii="Palatino Linotype" w:hAnsi="Palatino Linotype" w:cs="Arial"/>
          <w:b/>
        </w:rPr>
        <w:t>R/2018, 3142/INFOEM/IP/RR/2018 Y</w:t>
      </w:r>
      <w:r w:rsidR="00C9510C" w:rsidRPr="00C9510C">
        <w:rPr>
          <w:rFonts w:ascii="Palatino Linotype" w:hAnsi="Palatino Linotype" w:cs="Arial"/>
          <w:b/>
        </w:rPr>
        <w:t xml:space="preserve"> 3143/INFOEM/IP/RR/2018</w:t>
      </w:r>
      <w:r w:rsidRPr="00C8035B">
        <w:rPr>
          <w:rFonts w:ascii="Palatino Linotype" w:eastAsia="Calibri" w:hAnsi="Palatino Linotype" w:cs="Arial"/>
          <w:b/>
          <w:color w:val="000000"/>
        </w:rPr>
        <w:t>.</w:t>
      </w:r>
    </w:p>
    <w:p w:rsidR="00DC5C4E" w:rsidRPr="00C8035B" w:rsidRDefault="00DC5C4E"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Con fundamento en lo dispuesto por el artículo 14</w:t>
      </w:r>
      <w:r w:rsidR="00AE2899">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respecto de la</w:t>
      </w:r>
      <w:r w:rsidR="00C9510C">
        <w:rPr>
          <w:rFonts w:ascii="Palatino Linotype" w:hAnsi="Palatino Linotype" w:cs="Arial"/>
        </w:rPr>
        <w:t xml:space="preserve"> resolución dictada en los</w:t>
      </w:r>
      <w:r w:rsidRPr="00C8035B">
        <w:rPr>
          <w:rFonts w:ascii="Palatino Linotype" w:hAnsi="Palatino Linotype" w:cs="Arial"/>
        </w:rPr>
        <w:t xml:space="preserve"> recurso</w:t>
      </w:r>
      <w:r w:rsidR="00C9510C">
        <w:rPr>
          <w:rFonts w:ascii="Palatino Linotype" w:hAnsi="Palatino Linotype" w:cs="Arial"/>
        </w:rPr>
        <w:t>s</w:t>
      </w:r>
      <w:r w:rsidRPr="00C8035B">
        <w:rPr>
          <w:rFonts w:ascii="Palatino Linotype" w:hAnsi="Palatino Linotype" w:cs="Arial"/>
        </w:rPr>
        <w:t xml:space="preserve"> de revisión </w:t>
      </w:r>
      <w:r w:rsidR="00C9510C">
        <w:rPr>
          <w:rFonts w:ascii="Palatino Linotype" w:hAnsi="Palatino Linotype" w:cs="Arial"/>
        </w:rPr>
        <w:t xml:space="preserve">acumulados </w:t>
      </w:r>
      <w:r w:rsidR="00C9510C" w:rsidRPr="00C9510C">
        <w:rPr>
          <w:rFonts w:ascii="Palatino Linotype" w:hAnsi="Palatino Linotype" w:cs="Arial"/>
          <w:b/>
        </w:rPr>
        <w:t xml:space="preserve">3108/INFOEM/IP/RR/2018, 3141/INFOEM/IP/RR/2018, 3142/INFOEM/IP/RR/2018 </w:t>
      </w:r>
      <w:r w:rsidR="00C9510C" w:rsidRPr="00C9510C">
        <w:rPr>
          <w:rFonts w:ascii="Palatino Linotype" w:hAnsi="Palatino Linotype" w:cs="Arial"/>
        </w:rPr>
        <w:t>y</w:t>
      </w:r>
      <w:r w:rsidR="00C9510C" w:rsidRPr="00C9510C">
        <w:rPr>
          <w:rFonts w:ascii="Palatino Linotype" w:hAnsi="Palatino Linotype" w:cs="Arial"/>
          <w:b/>
        </w:rPr>
        <w:t xml:space="preserve"> 3143/INFOEM/IP/RR/2018</w:t>
      </w:r>
      <w:r w:rsidRPr="00C8035B">
        <w:rPr>
          <w:rFonts w:ascii="Palatino Linotype" w:hAnsi="Palatino Linotype" w:cs="Arial"/>
        </w:rPr>
        <w:t>, pronunciada por el Pleno de este Instit</w:t>
      </w:r>
      <w:r w:rsidR="005779CE">
        <w:rPr>
          <w:rFonts w:ascii="Palatino Linotype" w:hAnsi="Palatino Linotype" w:cs="Arial"/>
        </w:rPr>
        <w:t xml:space="preserve">uto ante el proyecto presentado </w:t>
      </w:r>
      <w:r w:rsidRPr="00C8035B">
        <w:rPr>
          <w:rFonts w:ascii="Palatino Linotype" w:hAnsi="Palatino Linotype" w:cs="Arial"/>
        </w:rPr>
        <w:t xml:space="preserve">por el Comisionado </w:t>
      </w:r>
      <w:r w:rsidRPr="00C8035B">
        <w:rPr>
          <w:rFonts w:ascii="Palatino Linotype" w:hAnsi="Palatino Linotype" w:cs="Arial"/>
          <w:b/>
        </w:rPr>
        <w:t>JOSÉ GUADALUPE LUNA HERNÁNDEZ</w:t>
      </w:r>
      <w:r w:rsidR="008C77DB">
        <w:rPr>
          <w:rFonts w:ascii="Palatino Linotype" w:hAnsi="Palatino Linotype" w:cs="Arial"/>
        </w:rPr>
        <w:t>, que es del tenor siguiente.</w:t>
      </w:r>
    </w:p>
    <w:p w:rsidR="00DC5C4E"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considero necesario precisar </w:t>
      </w:r>
      <w:r w:rsidR="00B31030">
        <w:rPr>
          <w:rFonts w:ascii="Palatino Linotype" w:hAnsi="Palatino Linotype"/>
        </w:rPr>
        <w:t>algunas cuestiones</w:t>
      </w:r>
      <w:r w:rsidRPr="00C8035B">
        <w:rPr>
          <w:rFonts w:ascii="Palatino Linotype" w:hAnsi="Palatino Linotype"/>
        </w:rPr>
        <w:t xml:space="preserve"> d</w:t>
      </w:r>
      <w:r w:rsidR="00734D98">
        <w:rPr>
          <w:rFonts w:ascii="Palatino Linotype" w:hAnsi="Palatino Linotype"/>
        </w:rPr>
        <w:t>e hecho y de derecho, tocante a</w:t>
      </w:r>
      <w:r w:rsidRPr="00C8035B">
        <w:rPr>
          <w:rFonts w:ascii="Palatino Linotype" w:hAnsi="Palatino Linotype"/>
        </w:rPr>
        <w:t xml:space="preserve"> </w:t>
      </w:r>
      <w:r w:rsidR="008C77DB">
        <w:rPr>
          <w:rFonts w:ascii="Palatino Linotype" w:hAnsi="Palatino Linotype"/>
        </w:rPr>
        <w:t xml:space="preserve">parte de lo que se ordena en la </w:t>
      </w:r>
      <w:r w:rsidRPr="00C8035B">
        <w:rPr>
          <w:rFonts w:ascii="Palatino Linotype" w:hAnsi="Palatino Linotype"/>
        </w:rPr>
        <w:t>resolución correspondiente.</w:t>
      </w:r>
    </w:p>
    <w:p w:rsidR="00C8035B" w:rsidRDefault="00DC5C4E" w:rsidP="00A23390">
      <w:pPr>
        <w:spacing w:before="100" w:beforeAutospacing="1" w:after="100" w:afterAutospacing="1" w:line="360" w:lineRule="auto"/>
        <w:jc w:val="both"/>
        <w:rPr>
          <w:rFonts w:ascii="Palatino Linotype" w:hAnsi="Palatino Linotype"/>
        </w:rPr>
      </w:pPr>
      <w:r w:rsidRPr="00C8035B">
        <w:rPr>
          <w:rFonts w:ascii="Palatino Linotype" w:hAnsi="Palatino Linotype"/>
        </w:rPr>
        <w:lastRenderedPageBreak/>
        <w:t>Al respecto, tal y como quedó debidamente asentado en la resoluci</w:t>
      </w:r>
      <w:r w:rsidR="00C40AD7">
        <w:rPr>
          <w:rFonts w:ascii="Palatino Linotype" w:hAnsi="Palatino Linotype"/>
        </w:rPr>
        <w:t>ón materia del presente voto, el</w:t>
      </w:r>
      <w:r w:rsidRPr="00C8035B">
        <w:rPr>
          <w:rFonts w:ascii="Palatino Linotype" w:hAnsi="Palatino Linotype"/>
        </w:rPr>
        <w:t xml:space="preserve"> particular </w:t>
      </w:r>
      <w:r w:rsidR="002F482B">
        <w:rPr>
          <w:rFonts w:ascii="Palatino Linotype" w:hAnsi="Palatino Linotype"/>
        </w:rPr>
        <w:t>requirió de</w:t>
      </w:r>
      <w:r w:rsidR="00C13981">
        <w:rPr>
          <w:rFonts w:ascii="Palatino Linotype" w:hAnsi="Palatino Linotype"/>
        </w:rPr>
        <w:t>l</w:t>
      </w:r>
      <w:r w:rsidR="002F482B">
        <w:rPr>
          <w:rFonts w:ascii="Palatino Linotype" w:hAnsi="Palatino Linotype"/>
        </w:rPr>
        <w:t xml:space="preserve"> </w:t>
      </w:r>
      <w:r w:rsidR="00C13981">
        <w:rPr>
          <w:rFonts w:ascii="Palatino Linotype" w:hAnsi="Palatino Linotype"/>
          <w:b/>
        </w:rPr>
        <w:t>Ayuntamiento de Atizapán de Zaragoza</w:t>
      </w:r>
      <w:r w:rsidR="00AE2899">
        <w:rPr>
          <w:rFonts w:ascii="Palatino Linotype" w:hAnsi="Palatino Linotype"/>
        </w:rPr>
        <w:t>,</w:t>
      </w:r>
      <w:r w:rsidR="00921F51">
        <w:rPr>
          <w:rFonts w:ascii="Palatino Linotype" w:hAnsi="Palatino Linotype"/>
        </w:rPr>
        <w:t xml:space="preserve"> en lo subsecuente</w:t>
      </w:r>
      <w:r w:rsidR="00017A8B" w:rsidRPr="00C8035B">
        <w:rPr>
          <w:rFonts w:ascii="Palatino Linotype" w:hAnsi="Palatino Linotype"/>
        </w:rPr>
        <w:t xml:space="preserve"> </w:t>
      </w:r>
      <w:r w:rsidRPr="00C8035B">
        <w:rPr>
          <w:rFonts w:ascii="Palatino Linotype" w:hAnsi="Palatino Linotype"/>
          <w:b/>
        </w:rPr>
        <w:t>SUJETO OBLIGADO</w:t>
      </w:r>
      <w:r w:rsidR="00B31030">
        <w:rPr>
          <w:rFonts w:ascii="Palatino Linotype" w:hAnsi="Palatino Linotype"/>
          <w:b/>
        </w:rPr>
        <w:t xml:space="preserve">, </w:t>
      </w:r>
      <w:r w:rsidR="00B31030">
        <w:rPr>
          <w:rFonts w:ascii="Palatino Linotype" w:hAnsi="Palatino Linotype"/>
        </w:rPr>
        <w:t>la siguiente información:</w:t>
      </w:r>
    </w:p>
    <w:p w:rsidR="00C9510C" w:rsidRPr="00C9510C" w:rsidRDefault="00C9510C" w:rsidP="00C9510C">
      <w:pPr>
        <w:pStyle w:val="Prrafodelista"/>
        <w:spacing w:before="240" w:after="240"/>
        <w:ind w:left="426"/>
        <w:jc w:val="both"/>
        <w:rPr>
          <w:rFonts w:ascii="Palatino Linotype" w:eastAsia="Calibri" w:hAnsi="Palatino Linotype" w:cs="Arial"/>
          <w:i/>
          <w:sz w:val="22"/>
          <w:szCs w:val="22"/>
          <w:lang w:val="es-ES"/>
        </w:rPr>
      </w:pPr>
      <w:r w:rsidRPr="00C9510C">
        <w:rPr>
          <w:rFonts w:ascii="Palatino Linotype" w:eastAsia="Calibri" w:hAnsi="Palatino Linotype" w:cs="Arial"/>
          <w:b/>
          <w:i/>
          <w:sz w:val="22"/>
          <w:szCs w:val="22"/>
          <w:lang w:val="es-ES"/>
        </w:rPr>
        <w:t>00199</w:t>
      </w:r>
      <w:r w:rsidRPr="00C9510C">
        <w:rPr>
          <w:rFonts w:ascii="Palatino Linotype" w:eastAsia="Times New Roman" w:hAnsi="Palatino Linotype" w:cs="Arial"/>
          <w:b/>
          <w:i/>
          <w:sz w:val="22"/>
          <w:szCs w:val="22"/>
          <w:lang w:val="es-ES"/>
        </w:rPr>
        <w:t>/ATIZARA/IP/2018:</w:t>
      </w:r>
    </w:p>
    <w:p w:rsidR="00C9510C" w:rsidRPr="00C9510C" w:rsidRDefault="00C9510C" w:rsidP="00C9510C">
      <w:pPr>
        <w:ind w:left="851" w:right="567"/>
        <w:jc w:val="both"/>
        <w:rPr>
          <w:rFonts w:ascii="Palatino Linotype" w:hAnsi="Palatino Linotype"/>
          <w:i/>
          <w:sz w:val="22"/>
          <w:szCs w:val="22"/>
        </w:rPr>
      </w:pPr>
      <w:r w:rsidRPr="00C9510C">
        <w:rPr>
          <w:rFonts w:ascii="Palatino Linotype" w:eastAsia="Calibri" w:hAnsi="Palatino Linotype"/>
          <w:i/>
          <w:color w:val="000000"/>
          <w:sz w:val="22"/>
          <w:szCs w:val="22"/>
          <w:lang w:val="es-MX" w:eastAsia="en-US"/>
        </w:rPr>
        <w:t>“</w:t>
      </w:r>
      <w:r w:rsidRPr="00C9510C">
        <w:rPr>
          <w:rFonts w:ascii="Palatino Linotype" w:hAnsi="Palatino Linotype"/>
          <w:i/>
          <w:sz w:val="22"/>
          <w:szCs w:val="22"/>
        </w:rPr>
        <w:t>SE ME ENVIÉ VÍA SAIMEX LA SIGUIENTE INFORMACIÓN PUBLICA, QUE CADA MES SE ENVÍA AL ÓRGANO SUPERIOR DE FISCALIZACIÓN DEL ESTADO DE MÉXICO EN EL DISCO DENOMINADO 1, CORRESPONDIENTE AL MES DE MAYO DEL AÑO 2018 DEL AYUNTAMIENTO MUNICIPAL DE ATIZAPAN DE ZARAGOZA; 1.- LOS ESTADOS DE SITUACIÓN FINANCIERA, 2.- LOS ANEXOS DEL ESTADO DE SITUACIÓN FINANCIERA..” (Sic)</w:t>
      </w:r>
    </w:p>
    <w:p w:rsidR="00C9510C" w:rsidRPr="00C9510C" w:rsidRDefault="00C9510C" w:rsidP="00C9510C">
      <w:pPr>
        <w:pStyle w:val="Prrafodelista"/>
        <w:spacing w:before="240" w:after="240"/>
        <w:ind w:left="426"/>
        <w:jc w:val="both"/>
        <w:rPr>
          <w:rFonts w:ascii="Palatino Linotype" w:eastAsia="Times New Roman" w:hAnsi="Palatino Linotype" w:cs="Arial"/>
          <w:b/>
          <w:i/>
          <w:sz w:val="22"/>
          <w:szCs w:val="22"/>
          <w:lang w:val="es-ES"/>
        </w:rPr>
      </w:pPr>
      <w:r w:rsidRPr="00C9510C">
        <w:rPr>
          <w:rFonts w:ascii="Palatino Linotype" w:eastAsia="Calibri" w:hAnsi="Palatino Linotype" w:cs="Arial"/>
          <w:b/>
          <w:i/>
          <w:sz w:val="22"/>
          <w:szCs w:val="22"/>
          <w:lang w:val="es-ES"/>
        </w:rPr>
        <w:t>00203</w:t>
      </w:r>
      <w:r w:rsidRPr="00C9510C">
        <w:rPr>
          <w:rFonts w:ascii="Palatino Linotype" w:eastAsia="Times New Roman" w:hAnsi="Palatino Linotype" w:cs="Arial"/>
          <w:b/>
          <w:i/>
          <w:sz w:val="22"/>
          <w:szCs w:val="22"/>
          <w:lang w:val="es-ES"/>
        </w:rPr>
        <w:t>/ATIZARA/IP/2018:</w:t>
      </w:r>
    </w:p>
    <w:p w:rsidR="00C9510C" w:rsidRPr="00C9510C" w:rsidRDefault="00C9510C" w:rsidP="00C9510C">
      <w:pPr>
        <w:ind w:left="851" w:right="567"/>
        <w:jc w:val="both"/>
        <w:rPr>
          <w:rFonts w:ascii="Palatino Linotype" w:hAnsi="Palatino Linotype"/>
          <w:i/>
          <w:sz w:val="22"/>
          <w:szCs w:val="22"/>
        </w:rPr>
      </w:pPr>
      <w:r w:rsidRPr="00C9510C">
        <w:rPr>
          <w:rFonts w:ascii="Palatino Linotype" w:hAnsi="Palatino Linotype"/>
          <w:i/>
          <w:sz w:val="22"/>
          <w:szCs w:val="22"/>
        </w:rPr>
        <w:t>“SE ME ENVIÉ VÍA SAIMEX LA SIGUIENTE INFORMACIÓN PUBLICA, QUE CADA MES SE ENVÍA AL ÓRGANO SUPERIOR DE FISCALIZACIÓN DEL ESTADO DE MÉXICO EN EL DISCO DENOMINADO 4, CORRESPONDIENTE AL MES DE MAYO DEL AÑO 2018 DEL AYUNTAMIENTO MUNICIPAL DE ATIZAPAN DE ZARAGOZA; 1.- NOMINA GENERAL DEL 1 AL 15 DE MAYO DE 2018. 2.- NOMINA GENERAL DEL 16 AL 30/31 DE MAYO DE 2018, 3.- REPORTE DE REMUNERACIONES DEL PERSONAL DE MANDOS MEDIOS Y SUPERIORES DEL MES EN COMENTO.” (Sic).</w:t>
      </w:r>
    </w:p>
    <w:p w:rsidR="00C9510C" w:rsidRPr="00C9510C" w:rsidRDefault="00C9510C" w:rsidP="00C9510C">
      <w:pPr>
        <w:pStyle w:val="Prrafodelista"/>
        <w:spacing w:before="240" w:after="240"/>
        <w:ind w:left="426"/>
        <w:jc w:val="both"/>
        <w:rPr>
          <w:rFonts w:ascii="Palatino Linotype" w:hAnsi="Palatino Linotype"/>
          <w:i/>
          <w:sz w:val="22"/>
          <w:szCs w:val="22"/>
        </w:rPr>
      </w:pPr>
      <w:r w:rsidRPr="00C9510C">
        <w:rPr>
          <w:rFonts w:ascii="Palatino Linotype" w:eastAsia="Calibri" w:hAnsi="Palatino Linotype" w:cs="Arial"/>
          <w:b/>
          <w:i/>
          <w:sz w:val="22"/>
          <w:szCs w:val="22"/>
          <w:lang w:val="es-ES"/>
        </w:rPr>
        <w:t>00200</w:t>
      </w:r>
      <w:r w:rsidRPr="00C9510C">
        <w:rPr>
          <w:rFonts w:ascii="Palatino Linotype" w:eastAsia="Times New Roman" w:hAnsi="Palatino Linotype" w:cs="Arial"/>
          <w:b/>
          <w:i/>
          <w:sz w:val="22"/>
          <w:szCs w:val="22"/>
          <w:lang w:val="es-ES"/>
        </w:rPr>
        <w:t>/ATIZARA/IP/2018</w:t>
      </w:r>
    </w:p>
    <w:p w:rsidR="00C9510C" w:rsidRPr="00C9510C" w:rsidRDefault="00C9510C" w:rsidP="00C9510C">
      <w:pPr>
        <w:ind w:left="851" w:right="567"/>
        <w:jc w:val="both"/>
        <w:rPr>
          <w:rFonts w:ascii="Palatino Linotype" w:hAnsi="Palatino Linotype"/>
          <w:i/>
          <w:sz w:val="22"/>
          <w:szCs w:val="22"/>
        </w:rPr>
      </w:pPr>
      <w:r w:rsidRPr="00C9510C">
        <w:rPr>
          <w:rFonts w:ascii="Palatino Linotype" w:hAnsi="Palatino Linotype"/>
          <w:i/>
          <w:sz w:val="22"/>
          <w:szCs w:val="22"/>
        </w:rPr>
        <w:t>“SE ME ENVIÉ VÍA SAIMEX LA SIGUIENTE INFORMACIÓN PUBLICA, QUE CADA MES SE ENVÍA AL ÓRGANO SUPERIOR DE FISCALIZACIÓN DEL ESTADO DE MÉXICO EN EL DISCO DENOMINADO 1, CORRESPONDIENTE AL MES DE MAYO DEL AÑO 2018 DEL AYUNTAMIENTO MUNICIPAL DE ATIZAPAN DE ZARAGOZA; 1.- ESTADOS DE CAMBIOS EN LA SITUACIÓN FINANCIERA, 2.- ESTADO ANALÍTICO DEL ACTIVO 3.- ESTADO ANALÍTICO DE LA DEUDA Y OTROS PASIVOS.” (Sic).</w:t>
      </w:r>
    </w:p>
    <w:p w:rsidR="00C9510C" w:rsidRPr="00C9510C" w:rsidRDefault="00C9510C" w:rsidP="00C9510C">
      <w:pPr>
        <w:ind w:right="567"/>
        <w:jc w:val="both"/>
        <w:rPr>
          <w:rFonts w:ascii="Palatino Linotype" w:hAnsi="Palatino Linotype"/>
          <w:i/>
          <w:sz w:val="22"/>
          <w:szCs w:val="22"/>
        </w:rPr>
      </w:pPr>
    </w:p>
    <w:p w:rsidR="00C9510C" w:rsidRPr="00C9510C" w:rsidRDefault="00C9510C" w:rsidP="00C9510C">
      <w:pPr>
        <w:ind w:left="851" w:right="567"/>
        <w:jc w:val="both"/>
        <w:rPr>
          <w:rFonts w:ascii="Palatino Linotype" w:hAnsi="Palatino Linotype" w:cs="Arial"/>
          <w:b/>
          <w:i/>
          <w:sz w:val="22"/>
          <w:szCs w:val="22"/>
        </w:rPr>
      </w:pPr>
      <w:r w:rsidRPr="00C9510C">
        <w:rPr>
          <w:rFonts w:ascii="Palatino Linotype" w:eastAsia="Calibri" w:hAnsi="Palatino Linotype" w:cs="Arial"/>
          <w:b/>
          <w:i/>
          <w:sz w:val="22"/>
          <w:szCs w:val="22"/>
        </w:rPr>
        <w:t>00201</w:t>
      </w:r>
      <w:r w:rsidRPr="00C9510C">
        <w:rPr>
          <w:rFonts w:ascii="Palatino Linotype" w:hAnsi="Palatino Linotype" w:cs="Arial"/>
          <w:b/>
          <w:i/>
          <w:sz w:val="22"/>
          <w:szCs w:val="22"/>
        </w:rPr>
        <w:t>/ATIZARA/IP/2018</w:t>
      </w:r>
    </w:p>
    <w:p w:rsidR="00C9510C" w:rsidRPr="00C9510C" w:rsidRDefault="00C9510C" w:rsidP="00C9510C">
      <w:pPr>
        <w:ind w:left="851" w:right="567"/>
        <w:jc w:val="both"/>
        <w:rPr>
          <w:rFonts w:ascii="Palatino Linotype" w:hAnsi="Palatino Linotype" w:cs="Arial"/>
          <w:b/>
          <w:i/>
          <w:sz w:val="22"/>
          <w:szCs w:val="22"/>
        </w:rPr>
      </w:pPr>
    </w:p>
    <w:p w:rsidR="00C9510C" w:rsidRPr="00C9510C" w:rsidRDefault="00C9510C" w:rsidP="00C9510C">
      <w:pPr>
        <w:ind w:left="851" w:right="567"/>
        <w:jc w:val="both"/>
        <w:rPr>
          <w:rFonts w:ascii="Palatino Linotype" w:hAnsi="Palatino Linotype"/>
          <w:i/>
          <w:sz w:val="22"/>
          <w:szCs w:val="22"/>
        </w:rPr>
      </w:pPr>
      <w:r w:rsidRPr="00C9510C">
        <w:rPr>
          <w:rFonts w:ascii="Palatino Linotype" w:hAnsi="Palatino Linotype"/>
          <w:i/>
          <w:sz w:val="22"/>
          <w:szCs w:val="22"/>
        </w:rPr>
        <w:lastRenderedPageBreak/>
        <w:t>“SE ME ENVIÉ VÍA SAIMEX LA SIGUIENTE INFORMACIÓN PUBLICA, QUE CADA MES SE ENVÍA AL ÓRGANO SUPERIOR DE FISCALIZACIÓN DEL ESTADO DE MÉXICO EN EL DISCO DENOMINADO 2, CORRESPONDIENTE AL MES DE MAYO DEL AÑO 2018 DEL AYUNTAMIENTO MUNICIPAL DE ATIZAPAN DE ZARAGOZA; 1.- ESTADO COMPARATIVO DE INGRESOS, 2.- ESTADO COMPARATIVO DE EGRESOS. 3.- DICTAMEN DE RECONDUCCION.” (Sic).</w:t>
      </w:r>
    </w:p>
    <w:p w:rsidR="00C8035B" w:rsidRPr="00C40AD7" w:rsidRDefault="00B51260"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106889">
        <w:rPr>
          <w:rFonts w:ascii="Palatino Linotype" w:hAnsi="Palatino Linotype" w:cs="Arial"/>
        </w:rPr>
        <w:t>,</w:t>
      </w:r>
      <w:r w:rsidR="00767B65" w:rsidRPr="00C8035B">
        <w:rPr>
          <w:rFonts w:ascii="Palatino Linotype" w:hAnsi="Palatino Linotype" w:cs="Arial"/>
        </w:rPr>
        <w:t xml:space="preserve"> en lo subsecuente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734D98">
        <w:rPr>
          <w:rFonts w:ascii="Palatino Linotype" w:hAnsi="Palatino Linotype" w:cs="Arial"/>
          <w:b/>
        </w:rPr>
        <w:t>EL SUJETO OBLIGADO</w:t>
      </w:r>
      <w:r w:rsidR="00674996" w:rsidRPr="00C8035B">
        <w:rPr>
          <w:rFonts w:ascii="Palatino Linotype" w:hAnsi="Palatino Linotype" w:cs="Arial"/>
          <w:b/>
        </w:rPr>
        <w:t xml:space="preserve"> </w:t>
      </w:r>
      <w:r w:rsidR="00AE3A95">
        <w:rPr>
          <w:rFonts w:ascii="Palatino Linotype" w:hAnsi="Palatino Linotype" w:cs="Arial"/>
        </w:rPr>
        <w:t>manifestó dentro de su respuesta que los estados comparativos de ingresos, egresos y la demás información solicitada, se encontraban dentro de la página electrónica del Ayuntamiento, asimismo remitió los hipervínculos  para ingresar</w:t>
      </w:r>
      <w:r w:rsidR="00313B93" w:rsidRPr="0047073A">
        <w:rPr>
          <w:rFonts w:ascii="Palatino Linotype" w:eastAsia="MS Mincho" w:hAnsi="Palatino Linotype"/>
          <w:lang w:val="es-ES_tradnl"/>
        </w:rPr>
        <w:t>.</w:t>
      </w:r>
    </w:p>
    <w:p w:rsidR="00DC5C4E" w:rsidRPr="00C8035B" w:rsidRDefault="00106889" w:rsidP="00A23390">
      <w:pPr>
        <w:spacing w:before="100" w:beforeAutospacing="1" w:after="100" w:afterAutospacing="1" w:line="360" w:lineRule="auto"/>
        <w:jc w:val="both"/>
        <w:rPr>
          <w:rFonts w:ascii="Palatino Linotype" w:hAnsi="Palatino Linotype" w:cs="Arial"/>
        </w:rPr>
      </w:pPr>
      <w:r w:rsidRPr="00DE48DF">
        <w:rPr>
          <w:rFonts w:ascii="Palatino Linotype" w:hAnsi="Palatino Linotype"/>
        </w:rPr>
        <w:t xml:space="preserve">Inconforme con la respuesta, </w:t>
      </w:r>
      <w:r w:rsidR="00C40AD7">
        <w:rPr>
          <w:rFonts w:ascii="Palatino Linotype" w:hAnsi="Palatino Linotype"/>
        </w:rPr>
        <w:t>el</w:t>
      </w:r>
      <w:r w:rsidRPr="00DE48DF">
        <w:rPr>
          <w:rFonts w:ascii="Palatino Linotype" w:hAnsi="Palatino Linotype"/>
          <w:b/>
        </w:rPr>
        <w:t xml:space="preserve"> </w:t>
      </w:r>
      <w:r w:rsidRPr="00DE48DF">
        <w:rPr>
          <w:rFonts w:ascii="Palatino Linotype" w:hAnsi="Palatino Linotype"/>
        </w:rPr>
        <w:t xml:space="preserve">ahora </w:t>
      </w:r>
      <w:r w:rsidRPr="00DE48DF">
        <w:rPr>
          <w:rFonts w:ascii="Palatino Linotype" w:hAnsi="Palatino Linotype"/>
          <w:b/>
        </w:rPr>
        <w:t>RECURRENTE</w:t>
      </w:r>
      <w:r w:rsidRPr="00DE48DF">
        <w:rPr>
          <w:rFonts w:ascii="Palatino Linotype" w:hAnsi="Palatino Linotype"/>
        </w:rPr>
        <w:t xml:space="preserve"> interpuso el recurso de revisión al rubro señalado, en el que </w:t>
      </w:r>
      <w:r w:rsidR="00285CD1">
        <w:rPr>
          <w:rFonts w:ascii="Palatino Linotype" w:hAnsi="Palatino Linotype" w:cs="Arial"/>
        </w:rPr>
        <w:t>manifestó</w:t>
      </w:r>
      <w:r w:rsidR="00674942">
        <w:rPr>
          <w:rFonts w:ascii="Palatino Linotype" w:hAnsi="Palatino Linotype" w:cs="Arial"/>
        </w:rPr>
        <w:t xml:space="preserve"> </w:t>
      </w:r>
      <w:r w:rsidR="009537F8">
        <w:rPr>
          <w:rFonts w:ascii="Palatino Linotype" w:hAnsi="Palatino Linotype" w:cs="Arial"/>
        </w:rPr>
        <w:t xml:space="preserve">medularmente </w:t>
      </w:r>
      <w:r w:rsidR="00674942">
        <w:rPr>
          <w:rFonts w:ascii="Palatino Linotype" w:hAnsi="Palatino Linotype" w:cs="Arial"/>
        </w:rPr>
        <w:t>como razones o motivos de in</w:t>
      </w:r>
      <w:r w:rsidR="00285CD1">
        <w:rPr>
          <w:rFonts w:ascii="Palatino Linotype" w:hAnsi="Palatino Linotype" w:cs="Arial"/>
        </w:rPr>
        <w:t xml:space="preserve">conformidad </w:t>
      </w:r>
      <w:r w:rsidR="00C40AD7">
        <w:rPr>
          <w:rFonts w:ascii="Palatino Linotype" w:hAnsi="Palatino Linotype" w:cs="Arial"/>
        </w:rPr>
        <w:t>que dentro de las ligas electrónicas no se encuentra inmersa la información solicitada</w:t>
      </w:r>
      <w:r w:rsidR="009537F8">
        <w:rPr>
          <w:rFonts w:ascii="Palatino Linotype" w:hAnsi="Palatino Linotype" w:cs="Arial"/>
        </w:rPr>
        <w:t>.</w:t>
      </w:r>
    </w:p>
    <w:p w:rsidR="00E15CE2" w:rsidRDefault="00B51260" w:rsidP="00A23390">
      <w:pPr>
        <w:spacing w:before="100" w:beforeAutospacing="1" w:after="100" w:afterAutospacing="1" w:line="360" w:lineRule="auto"/>
        <w:jc w:val="both"/>
        <w:rPr>
          <w:rFonts w:ascii="Palatino Linotype" w:eastAsia="Calibri" w:hAnsi="Palatino Linotype" w:cs="Arial"/>
          <w:color w:val="000000" w:themeColor="text1"/>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C40AD7">
        <w:rPr>
          <w:rFonts w:ascii="Palatino Linotype" w:hAnsi="Palatino Linotype" w:cs="Arial"/>
          <w:b/>
        </w:rPr>
        <w:t>REV</w:t>
      </w:r>
      <w:r w:rsidR="00C73CF6">
        <w:rPr>
          <w:rFonts w:ascii="Palatino Linotype" w:hAnsi="Palatino Linotype" w:cs="Arial"/>
          <w:b/>
        </w:rPr>
        <w:t>OCAR</w:t>
      </w:r>
      <w:r w:rsidR="00E15CE2" w:rsidRPr="00C8035B">
        <w:rPr>
          <w:rFonts w:ascii="Palatino Linotype" w:hAnsi="Palatino Linotype" w:cs="Arial"/>
          <w:b/>
        </w:rPr>
        <w:t xml:space="preserve"> </w:t>
      </w:r>
      <w:r w:rsidR="00E15CE2" w:rsidRPr="00C8035B">
        <w:rPr>
          <w:rFonts w:ascii="Palatino Linotype" w:hAnsi="Palatino Linotype" w:cs="Arial"/>
        </w:rPr>
        <w:t xml:space="preserve">la respuesta del </w:t>
      </w:r>
      <w:r w:rsidR="00DC5C4E" w:rsidRPr="00C8035B">
        <w:rPr>
          <w:rFonts w:ascii="Palatino Linotype" w:hAnsi="Palatino Linotype" w:cs="Arial"/>
          <w:b/>
        </w:rPr>
        <w:t>SUJETO OBLIGADO</w:t>
      </w:r>
      <w:r w:rsidR="00E15CE2" w:rsidRPr="00C8035B">
        <w:rPr>
          <w:rFonts w:ascii="Palatino Linotype" w:hAnsi="Palatino Linotype" w:cs="Arial"/>
          <w:b/>
        </w:rPr>
        <w:t xml:space="preserve"> </w:t>
      </w:r>
      <w:r w:rsidR="00E15CE2" w:rsidRPr="00C8035B">
        <w:rPr>
          <w:rFonts w:ascii="Palatino Linotype" w:hAnsi="Palatino Linotype" w:cs="Arial"/>
        </w:rPr>
        <w:t>ordenándole</w:t>
      </w:r>
      <w:r w:rsidR="00E15CE2" w:rsidRPr="00C8035B">
        <w:rPr>
          <w:rFonts w:ascii="Palatino Linotype" w:hAnsi="Palatino Linotype" w:cs="Arial"/>
          <w:b/>
        </w:rPr>
        <w:t xml:space="preserve"> </w:t>
      </w:r>
      <w:r w:rsidR="00E15CE2" w:rsidRPr="00C8035B">
        <w:rPr>
          <w:rFonts w:ascii="Palatino Linotype" w:eastAsia="Calibri" w:hAnsi="Palatino Linotype" w:cs="Arial"/>
        </w:rPr>
        <w:t>hacer</w:t>
      </w:r>
      <w:r w:rsidR="00DC5C4E" w:rsidRPr="00C8035B">
        <w:rPr>
          <w:rFonts w:ascii="Palatino Linotype" w:hAnsi="Palatino Linotype" w:cs="Arial"/>
          <w:b/>
        </w:rPr>
        <w:t xml:space="preserve"> </w:t>
      </w:r>
      <w:r w:rsidR="00DC5C4E" w:rsidRPr="00C8035B">
        <w:rPr>
          <w:rFonts w:ascii="Palatino Linotype" w:hAnsi="Palatino Linotype" w:cs="Arial"/>
        </w:rPr>
        <w:t xml:space="preserve">la entrega, vía </w:t>
      </w:r>
      <w:r w:rsidR="00767B65" w:rsidRPr="00C8035B">
        <w:rPr>
          <w:rFonts w:ascii="Palatino Linotype" w:hAnsi="Palatino Linotype"/>
        </w:rPr>
        <w:t>SAIMEX</w:t>
      </w:r>
      <w:r w:rsidR="00767B65" w:rsidRPr="00C8035B">
        <w:rPr>
          <w:rFonts w:ascii="Palatino Linotype" w:hAnsi="Palatino Linotype" w:cs="Arial"/>
        </w:rPr>
        <w:t xml:space="preserve"> </w:t>
      </w:r>
      <w:r w:rsidR="001A7CEE" w:rsidRPr="00C8035B">
        <w:rPr>
          <w:rFonts w:ascii="Palatino Linotype" w:hAnsi="Palatino Linotype" w:cs="Arial"/>
        </w:rPr>
        <w:t xml:space="preserve">y </w:t>
      </w:r>
      <w:r w:rsidR="00DC5C4E" w:rsidRPr="00C8035B">
        <w:rPr>
          <w:rFonts w:ascii="Palatino Linotype" w:hAnsi="Palatino Linotype" w:cs="Arial"/>
        </w:rPr>
        <w:t>en versión pública</w:t>
      </w:r>
      <w:r w:rsidR="001A7CEE" w:rsidRPr="00C8035B">
        <w:rPr>
          <w:rFonts w:ascii="Palatino Linotype" w:hAnsi="Palatino Linotype" w:cs="Arial"/>
        </w:rPr>
        <w:t xml:space="preserve"> </w:t>
      </w:r>
      <w:r w:rsidR="00C73CF6">
        <w:rPr>
          <w:rFonts w:ascii="Palatino Linotype" w:hAnsi="Palatino Linotype" w:cs="Arial"/>
        </w:rPr>
        <w:t xml:space="preserve">de ser el caso </w:t>
      </w:r>
      <w:r w:rsidR="00E15CE2" w:rsidRPr="00C8035B">
        <w:rPr>
          <w:rFonts w:ascii="Palatino Linotype" w:hAnsi="Palatino Linotype" w:cs="Arial"/>
        </w:rPr>
        <w:t xml:space="preserve">de </w:t>
      </w:r>
      <w:r w:rsidR="00C73CF6">
        <w:rPr>
          <w:rFonts w:ascii="Palatino Linotype" w:hAnsi="Palatino Linotype" w:cs="Arial"/>
        </w:rPr>
        <w:t>lo siguiente</w:t>
      </w:r>
      <w:r w:rsidR="00DC5C4E" w:rsidRPr="00C8035B">
        <w:rPr>
          <w:rFonts w:ascii="Palatino Linotype" w:eastAsia="Calibri" w:hAnsi="Palatino Linotype" w:cs="Arial"/>
          <w:color w:val="000000" w:themeColor="text1"/>
        </w:rPr>
        <w:t>.</w:t>
      </w:r>
      <w:r w:rsidR="00697966" w:rsidRPr="00C8035B">
        <w:rPr>
          <w:rFonts w:ascii="Palatino Linotype" w:eastAsia="Calibri" w:hAnsi="Palatino Linotype" w:cs="Arial"/>
          <w:color w:val="000000" w:themeColor="text1"/>
        </w:rPr>
        <w:t xml:space="preserve"> </w:t>
      </w:r>
    </w:p>
    <w:p w:rsidR="00C73CF6" w:rsidRPr="00C73CF6" w:rsidRDefault="00C73CF6" w:rsidP="00C73CF6">
      <w:pPr>
        <w:pStyle w:val="Prrafodelista"/>
        <w:numPr>
          <w:ilvl w:val="0"/>
          <w:numId w:val="3"/>
        </w:numPr>
        <w:spacing w:before="240" w:after="240"/>
        <w:ind w:left="709" w:hanging="11"/>
        <w:jc w:val="both"/>
        <w:rPr>
          <w:rFonts w:ascii="Palatino Linotype" w:eastAsia="Calibri" w:hAnsi="Palatino Linotype" w:cs="Arial"/>
          <w:i/>
          <w:color w:val="000000" w:themeColor="text1"/>
          <w:sz w:val="22"/>
          <w:szCs w:val="22"/>
          <w:lang w:val="es-ES"/>
        </w:rPr>
      </w:pPr>
      <w:r>
        <w:rPr>
          <w:rFonts w:ascii="Palatino Linotype" w:eastAsia="Calibri" w:hAnsi="Palatino Linotype" w:cs="Times New Roman"/>
          <w:i/>
          <w:sz w:val="22"/>
          <w:szCs w:val="22"/>
        </w:rPr>
        <w:t>“</w:t>
      </w:r>
      <w:r w:rsidRPr="00C73CF6">
        <w:rPr>
          <w:rFonts w:ascii="Palatino Linotype" w:eastAsia="Calibri" w:hAnsi="Palatino Linotype" w:cs="Times New Roman"/>
          <w:i/>
          <w:sz w:val="22"/>
          <w:szCs w:val="22"/>
        </w:rPr>
        <w:t>Estado de Cambios en la Situación Financiera;</w:t>
      </w:r>
    </w:p>
    <w:p w:rsidR="00C73CF6" w:rsidRPr="00C73CF6" w:rsidRDefault="00C73CF6" w:rsidP="00C73CF6">
      <w:pPr>
        <w:pStyle w:val="Prrafodelista"/>
        <w:numPr>
          <w:ilvl w:val="0"/>
          <w:numId w:val="3"/>
        </w:numPr>
        <w:spacing w:before="240" w:after="240"/>
        <w:ind w:left="709" w:hanging="11"/>
        <w:jc w:val="both"/>
        <w:rPr>
          <w:rFonts w:ascii="Palatino Linotype" w:eastAsia="Calibri" w:hAnsi="Palatino Linotype" w:cs="Arial"/>
          <w:i/>
          <w:color w:val="000000" w:themeColor="text1"/>
          <w:sz w:val="22"/>
          <w:szCs w:val="22"/>
          <w:lang w:val="es-ES"/>
        </w:rPr>
      </w:pPr>
      <w:r w:rsidRPr="00C73CF6">
        <w:rPr>
          <w:rFonts w:ascii="Palatino Linotype" w:eastAsia="Calibri" w:hAnsi="Palatino Linotype" w:cs="Times New Roman"/>
          <w:i/>
          <w:sz w:val="22"/>
          <w:szCs w:val="22"/>
        </w:rPr>
        <w:t>Estado Analítico del Activo;</w:t>
      </w:r>
    </w:p>
    <w:p w:rsidR="00C73CF6" w:rsidRPr="00C73CF6" w:rsidRDefault="00C73CF6" w:rsidP="00C73CF6">
      <w:pPr>
        <w:pStyle w:val="Prrafodelista"/>
        <w:numPr>
          <w:ilvl w:val="0"/>
          <w:numId w:val="3"/>
        </w:numPr>
        <w:spacing w:before="240" w:after="240"/>
        <w:ind w:left="709" w:hanging="11"/>
        <w:jc w:val="both"/>
        <w:rPr>
          <w:rFonts w:ascii="Palatino Linotype" w:eastAsia="Calibri" w:hAnsi="Palatino Linotype" w:cs="Arial"/>
          <w:i/>
          <w:color w:val="000000" w:themeColor="text1"/>
          <w:sz w:val="22"/>
          <w:szCs w:val="22"/>
          <w:lang w:val="es-ES"/>
        </w:rPr>
      </w:pPr>
      <w:r w:rsidRPr="00C73CF6">
        <w:rPr>
          <w:rFonts w:ascii="Palatino Linotype" w:eastAsia="Calibri" w:hAnsi="Palatino Linotype" w:cs="Times New Roman"/>
          <w:i/>
          <w:sz w:val="22"/>
          <w:szCs w:val="22"/>
        </w:rPr>
        <w:t>Estado Analítico de Deuda y otros Pasivos;</w:t>
      </w:r>
    </w:p>
    <w:p w:rsidR="00C73CF6" w:rsidRPr="00C73CF6" w:rsidRDefault="00C73CF6" w:rsidP="00C73CF6">
      <w:pPr>
        <w:pStyle w:val="Prrafodelista"/>
        <w:numPr>
          <w:ilvl w:val="0"/>
          <w:numId w:val="3"/>
        </w:numPr>
        <w:spacing w:before="240" w:after="240"/>
        <w:ind w:left="709" w:hanging="11"/>
        <w:jc w:val="both"/>
        <w:rPr>
          <w:rFonts w:ascii="Palatino Linotype" w:eastAsia="Calibri" w:hAnsi="Palatino Linotype" w:cs="Arial"/>
          <w:i/>
          <w:color w:val="000000" w:themeColor="text1"/>
          <w:sz w:val="22"/>
          <w:szCs w:val="22"/>
          <w:lang w:val="es-ES"/>
        </w:rPr>
      </w:pPr>
      <w:r w:rsidRPr="00C73CF6">
        <w:rPr>
          <w:rFonts w:ascii="Palatino Linotype" w:eastAsia="Calibri" w:hAnsi="Palatino Linotype" w:cs="Arial"/>
          <w:i/>
          <w:color w:val="000000" w:themeColor="text1"/>
          <w:sz w:val="22"/>
          <w:szCs w:val="22"/>
          <w:lang w:val="es-ES"/>
        </w:rPr>
        <w:t>Nómina general de la primera y segunda quincena; y,</w:t>
      </w:r>
    </w:p>
    <w:p w:rsidR="00C73CF6" w:rsidRPr="00C73CF6" w:rsidRDefault="00C73CF6" w:rsidP="00C73CF6">
      <w:pPr>
        <w:pStyle w:val="Prrafodelista"/>
        <w:numPr>
          <w:ilvl w:val="0"/>
          <w:numId w:val="3"/>
        </w:numPr>
        <w:spacing w:before="240" w:after="240"/>
        <w:ind w:left="709" w:hanging="11"/>
        <w:jc w:val="both"/>
        <w:rPr>
          <w:rFonts w:ascii="Palatino Linotype" w:eastAsia="Calibri" w:hAnsi="Palatino Linotype" w:cs="Arial"/>
          <w:i/>
          <w:sz w:val="22"/>
          <w:szCs w:val="22"/>
          <w:lang w:val="es-ES"/>
        </w:rPr>
      </w:pPr>
      <w:r w:rsidRPr="00C73CF6">
        <w:rPr>
          <w:rFonts w:ascii="Palatino Linotype" w:eastAsia="Calibri" w:hAnsi="Palatino Linotype" w:cs="Arial"/>
          <w:i/>
          <w:color w:val="000000" w:themeColor="text1"/>
          <w:sz w:val="22"/>
          <w:szCs w:val="22"/>
          <w:lang w:val="es-ES"/>
        </w:rPr>
        <w:t>Dictamen de reconducción.</w:t>
      </w:r>
    </w:p>
    <w:p w:rsidR="00C73CF6" w:rsidRPr="00C73CF6" w:rsidRDefault="00C73CF6" w:rsidP="00C73CF6">
      <w:pPr>
        <w:pStyle w:val="Prrafodelista"/>
        <w:spacing w:before="240" w:after="240"/>
        <w:ind w:left="709"/>
        <w:jc w:val="both"/>
        <w:rPr>
          <w:rFonts w:ascii="Palatino Linotype" w:eastAsia="Calibri" w:hAnsi="Palatino Linotype" w:cs="Arial"/>
          <w:i/>
          <w:sz w:val="22"/>
          <w:szCs w:val="22"/>
          <w:lang w:val="es-ES"/>
        </w:rPr>
      </w:pPr>
      <w:r w:rsidRPr="00C73CF6">
        <w:rPr>
          <w:rFonts w:ascii="Palatino Linotype" w:eastAsia="Calibri" w:hAnsi="Palatino Linotype" w:cs="Arial"/>
          <w:i/>
          <w:color w:val="000000" w:themeColor="text1"/>
          <w:sz w:val="22"/>
          <w:szCs w:val="22"/>
        </w:rPr>
        <w:t>…</w:t>
      </w:r>
    </w:p>
    <w:p w:rsidR="00C73CF6" w:rsidRDefault="00C73CF6" w:rsidP="00C73CF6">
      <w:pPr>
        <w:spacing w:before="240" w:after="240"/>
        <w:ind w:left="709" w:hanging="11"/>
        <w:jc w:val="both"/>
        <w:rPr>
          <w:rFonts w:ascii="Palatino Linotype" w:eastAsia="Calibri" w:hAnsi="Palatino Linotype" w:cs="Arial"/>
          <w:i/>
          <w:sz w:val="22"/>
          <w:szCs w:val="22"/>
        </w:rPr>
      </w:pPr>
      <w:r w:rsidRPr="00C73CF6">
        <w:rPr>
          <w:rFonts w:ascii="Palatino Linotype" w:eastAsia="Calibri" w:hAnsi="Palatino Linotype" w:cs="Arial"/>
          <w:i/>
          <w:sz w:val="22"/>
          <w:szCs w:val="22"/>
        </w:rPr>
        <w:t xml:space="preserve">En relación al </w:t>
      </w:r>
      <w:r w:rsidRPr="00C73CF6">
        <w:rPr>
          <w:rFonts w:ascii="Palatino Linotype" w:eastAsia="Calibri" w:hAnsi="Palatino Linotype" w:cs="Arial"/>
          <w:b/>
          <w:i/>
          <w:sz w:val="22"/>
          <w:szCs w:val="22"/>
        </w:rPr>
        <w:t>inciso e),</w:t>
      </w:r>
      <w:r w:rsidRPr="00C73CF6">
        <w:rPr>
          <w:rFonts w:ascii="Palatino Linotype" w:eastAsia="Calibri" w:hAnsi="Palatino Linotype" w:cs="Arial"/>
          <w:i/>
          <w:sz w:val="22"/>
          <w:szCs w:val="22"/>
        </w:rPr>
        <w:t xml:space="preserve"> para el caso de que la información no haya sido generada, el </w:t>
      </w:r>
      <w:r w:rsidRPr="00C73CF6">
        <w:rPr>
          <w:rFonts w:ascii="Palatino Linotype" w:eastAsia="Calibri" w:hAnsi="Palatino Linotype" w:cs="Arial"/>
          <w:b/>
          <w:i/>
          <w:sz w:val="22"/>
          <w:szCs w:val="22"/>
        </w:rPr>
        <w:t>SUJETO OBLIGADO,</w:t>
      </w:r>
      <w:r w:rsidRPr="00C73CF6">
        <w:rPr>
          <w:rFonts w:ascii="Palatino Linotype" w:eastAsia="Calibri" w:hAnsi="Palatino Linotype" w:cs="Arial"/>
          <w:i/>
          <w:sz w:val="22"/>
          <w:szCs w:val="22"/>
        </w:rPr>
        <w:t xml:space="preserve"> deberá manifestar de manera precisa y clara las razones que expliquen las causas por la que no se haya generado la información requerida.</w:t>
      </w:r>
      <w:r>
        <w:rPr>
          <w:rFonts w:ascii="Palatino Linotype" w:eastAsia="Calibri" w:hAnsi="Palatino Linotype" w:cs="Arial"/>
          <w:i/>
          <w:sz w:val="22"/>
          <w:szCs w:val="22"/>
        </w:rPr>
        <w:t>”</w:t>
      </w:r>
    </w:p>
    <w:p w:rsidR="00C73CF6" w:rsidRPr="00C73CF6" w:rsidRDefault="00C73CF6" w:rsidP="00C73CF6">
      <w:pPr>
        <w:spacing w:before="240" w:after="240"/>
        <w:ind w:left="709" w:hanging="11"/>
        <w:jc w:val="both"/>
        <w:rPr>
          <w:rFonts w:ascii="Palatino Linotype" w:eastAsia="Calibri" w:hAnsi="Palatino Linotype" w:cs="Arial"/>
          <w:i/>
          <w:sz w:val="22"/>
          <w:szCs w:val="22"/>
        </w:rPr>
      </w:pPr>
    </w:p>
    <w:p w:rsidR="00DC5C4E" w:rsidRPr="00C8035B" w:rsidRDefault="00DC5C4E" w:rsidP="00A23390">
      <w:pPr>
        <w:spacing w:before="100" w:beforeAutospacing="1" w:after="100" w:afterAutospacing="1" w:line="360" w:lineRule="auto"/>
        <w:jc w:val="both"/>
        <w:rPr>
          <w:rFonts w:ascii="Palatino Linotype" w:eastAsia="Calibri" w:hAnsi="Palatino Linotype" w:cs="Arial"/>
        </w:rPr>
      </w:pPr>
      <w:r w:rsidRPr="00C8035B">
        <w:rPr>
          <w:rFonts w:ascii="Palatino Linotype" w:hAnsi="Palatino Linotype" w:cs="Arial"/>
          <w:lang w:val="es-MX"/>
        </w:rPr>
        <w:t xml:space="preserve">En ese sentido, la que suscribe reitera, que si bien coincide en términos generales con el estudio de la resolución en comento, difiero respecto </w:t>
      </w:r>
      <w:r w:rsidR="00B51260" w:rsidRPr="00C8035B">
        <w:rPr>
          <w:rFonts w:ascii="Palatino Linotype" w:hAnsi="Palatino Linotype" w:cs="Arial"/>
          <w:lang w:val="es-MX"/>
        </w:rPr>
        <w:t>al pronunciamiento que se ordena al</w:t>
      </w:r>
      <w:r w:rsidRPr="00C8035B">
        <w:rPr>
          <w:rFonts w:ascii="Palatino Linotype" w:hAnsi="Palatino Linotype" w:cs="Arial"/>
          <w:lang w:val="es-MX"/>
        </w:rPr>
        <w:t xml:space="preserve"> </w:t>
      </w:r>
      <w:r w:rsidRPr="00C8035B">
        <w:rPr>
          <w:rFonts w:ascii="Palatino Linotype" w:hAnsi="Palatino Linotype" w:cs="Arial"/>
          <w:b/>
          <w:lang w:val="es-MX"/>
        </w:rPr>
        <w:t>SUJETO OBLIGADO</w:t>
      </w:r>
      <w:r w:rsidR="00FC2815" w:rsidRPr="00C8035B">
        <w:rPr>
          <w:rFonts w:ascii="Palatino Linotype" w:hAnsi="Palatino Linotype" w:cs="Arial"/>
          <w:lang w:val="es-MX"/>
        </w:rPr>
        <w:t xml:space="preserve">, </w:t>
      </w:r>
      <w:r w:rsidR="00B51260" w:rsidRPr="00C8035B">
        <w:rPr>
          <w:rFonts w:ascii="Palatino Linotype" w:hAnsi="Palatino Linotype" w:cs="Arial"/>
          <w:lang w:val="es-MX"/>
        </w:rPr>
        <w:t>par</w:t>
      </w:r>
      <w:r w:rsidR="008E247D">
        <w:rPr>
          <w:rFonts w:ascii="Palatino Linotype" w:hAnsi="Palatino Linotype" w:cs="Arial"/>
          <w:lang w:val="es-MX"/>
        </w:rPr>
        <w:t>a el caso de no haberse poseído o administrado</w:t>
      </w:r>
      <w:r w:rsidR="00B51260" w:rsidRPr="00C8035B">
        <w:rPr>
          <w:rFonts w:ascii="Palatino Linotype" w:hAnsi="Palatino Linotype" w:cs="Arial"/>
          <w:lang w:val="es-MX"/>
        </w:rPr>
        <w:t xml:space="preserve"> la información</w:t>
      </w:r>
      <w:r w:rsidR="00C9510C">
        <w:rPr>
          <w:rFonts w:ascii="Palatino Linotype" w:hAnsi="Palatino Linotype" w:cs="Arial"/>
          <w:lang w:val="es-MX"/>
        </w:rPr>
        <w:t xml:space="preserve"> referente al dictamen de reconducción</w:t>
      </w:r>
      <w:r w:rsidR="00B51260" w:rsidRPr="00C8035B">
        <w:rPr>
          <w:rFonts w:ascii="Palatino Linotype" w:hAnsi="Palatino Linotype" w:cs="Arial"/>
          <w:lang w:val="es-MX"/>
        </w:rPr>
        <w:t xml:space="preserve">; </w:t>
      </w:r>
      <w:r w:rsidR="00FC2815" w:rsidRPr="00C8035B">
        <w:rPr>
          <w:rFonts w:ascii="Palatino Linotype" w:hAnsi="Palatino Linotype" w:cs="Arial"/>
          <w:lang w:val="es-MX"/>
        </w:rPr>
        <w:t>ordenándole que</w:t>
      </w:r>
      <w:r w:rsidR="00B51260" w:rsidRPr="00C8035B">
        <w:rPr>
          <w:rFonts w:ascii="Palatino Linotype" w:hAnsi="Palatino Linotype" w:cs="Arial"/>
          <w:lang w:val="es-MX"/>
        </w:rPr>
        <w:t xml:space="preserve"> </w:t>
      </w:r>
      <w:r w:rsidRPr="00C8035B">
        <w:rPr>
          <w:rFonts w:ascii="Palatino Linotype" w:hAnsi="Palatino Linotype" w:cs="Arial"/>
          <w:lang w:val="es-MX"/>
        </w:rPr>
        <w:t xml:space="preserve">se pronuncie </w:t>
      </w:r>
      <w:r w:rsidRPr="00C8035B">
        <w:rPr>
          <w:rFonts w:ascii="Palatino Linotype" w:eastAsia="Calibri" w:hAnsi="Palatino Linotype" w:cs="Arial"/>
        </w:rPr>
        <w:t>de manera precisa y clara</w:t>
      </w:r>
      <w:r w:rsidR="008E247D">
        <w:rPr>
          <w:rFonts w:ascii="Palatino Linotype" w:eastAsia="Calibri" w:hAnsi="Palatino Linotype" w:cs="Arial"/>
        </w:rPr>
        <w:t>,</w:t>
      </w:r>
      <w:r w:rsidRPr="00C8035B">
        <w:rPr>
          <w:rFonts w:ascii="Palatino Linotype" w:eastAsia="Calibri" w:hAnsi="Palatino Linotype" w:cs="Arial"/>
        </w:rPr>
        <w:t xml:space="preserve"> argumentando las razones que expliquen las causas por la</w:t>
      </w:r>
      <w:r w:rsidR="001A7CEE" w:rsidRPr="00C8035B">
        <w:rPr>
          <w:rFonts w:ascii="Palatino Linotype" w:eastAsia="Calibri" w:hAnsi="Palatino Linotype" w:cs="Arial"/>
        </w:rPr>
        <w:t>s</w:t>
      </w:r>
      <w:r w:rsidRPr="00C8035B">
        <w:rPr>
          <w:rFonts w:ascii="Palatino Linotype" w:eastAsia="Calibri" w:hAnsi="Palatino Linotype" w:cs="Arial"/>
        </w:rPr>
        <w:t xml:space="preserve"> que no se </w:t>
      </w:r>
      <w:r w:rsidR="008E247D">
        <w:rPr>
          <w:rFonts w:ascii="Palatino Linotype" w:eastAsia="Calibri" w:hAnsi="Palatino Linotype" w:cs="Arial"/>
        </w:rPr>
        <w:t>posee o administra</w:t>
      </w:r>
      <w:r w:rsidR="008C77DB">
        <w:rPr>
          <w:rFonts w:ascii="Palatino Linotype" w:eastAsia="Calibri" w:hAnsi="Palatino Linotype" w:cs="Arial"/>
        </w:rPr>
        <w:t xml:space="preserve"> dicha información.</w:t>
      </w:r>
    </w:p>
    <w:p w:rsidR="00440036" w:rsidRPr="00C8035B" w:rsidRDefault="00440036" w:rsidP="00A23390">
      <w:pPr>
        <w:spacing w:before="100" w:beforeAutospacing="1" w:after="100" w:afterAutospacing="1" w:line="360" w:lineRule="auto"/>
        <w:jc w:val="both"/>
        <w:rPr>
          <w:rFonts w:ascii="Palatino Linotype" w:hAnsi="Palatino Linotype" w:cs="Arial"/>
          <w:lang w:val="es-MX"/>
        </w:rPr>
      </w:pPr>
      <w:r w:rsidRPr="00C8035B">
        <w:rPr>
          <w:rFonts w:ascii="Palatino Linotype" w:hAnsi="Palatino Linotype" w:cs="Arial"/>
          <w:lang w:val="es-MX"/>
        </w:rPr>
        <w:t xml:space="preserve">Es decir, al ordenar un pronunciamiento por parte del </w:t>
      </w:r>
      <w:r w:rsidRPr="00C8035B">
        <w:rPr>
          <w:rFonts w:ascii="Palatino Linotype" w:hAnsi="Palatino Linotype" w:cs="Arial"/>
          <w:b/>
          <w:lang w:val="es-MX"/>
        </w:rPr>
        <w:t xml:space="preserve">SUJETO OBLIGADO </w:t>
      </w:r>
      <w:r w:rsidRPr="00C8035B">
        <w:rPr>
          <w:rFonts w:ascii="Palatino Linotype" w:hAnsi="Palatino Linotype" w:cs="Arial"/>
          <w:lang w:val="es-MX"/>
        </w:rPr>
        <w:t>en el que se establezcan las</w:t>
      </w:r>
      <w:r w:rsidR="008E247D">
        <w:rPr>
          <w:rFonts w:ascii="Palatino Linotype" w:hAnsi="Palatino Linotype" w:cs="Arial"/>
          <w:lang w:val="es-MX"/>
        </w:rPr>
        <w:t xml:space="preserve"> causas por las que no se posee o administra</w:t>
      </w:r>
      <w:r w:rsidRPr="00C8035B">
        <w:rPr>
          <w:rFonts w:ascii="Palatino Linotype" w:hAnsi="Palatino Linotype" w:cs="Arial"/>
          <w:lang w:val="es-MX"/>
        </w:rPr>
        <w:t xml:space="preserve"> la información solicitada, implicaría </w:t>
      </w:r>
      <w:r w:rsidR="00C33AE1" w:rsidRPr="00C8035B">
        <w:rPr>
          <w:rFonts w:ascii="Palatino Linotype" w:hAnsi="Palatino Linotype" w:cs="Arial"/>
          <w:lang w:val="es-MX"/>
        </w:rPr>
        <w:t xml:space="preserve">afirmar </w:t>
      </w:r>
      <w:r w:rsidRPr="00C8035B">
        <w:rPr>
          <w:rFonts w:ascii="Palatino Linotype" w:hAnsi="Palatino Linotype" w:cs="Arial"/>
          <w:lang w:val="es-MX"/>
        </w:rPr>
        <w:t>que efectivamente</w:t>
      </w:r>
      <w:r w:rsidR="00734D98">
        <w:rPr>
          <w:rFonts w:ascii="Palatino Linotype" w:hAnsi="Palatino Linotype" w:cs="Arial"/>
          <w:lang w:val="es-MX"/>
        </w:rPr>
        <w:t xml:space="preserve"> dicho documento </w:t>
      </w:r>
      <w:r w:rsidR="00F43237">
        <w:rPr>
          <w:rFonts w:ascii="Palatino Linotype" w:hAnsi="Palatino Linotype" w:cs="Arial"/>
          <w:lang w:val="es-MX"/>
        </w:rPr>
        <w:t>d</w:t>
      </w:r>
      <w:r w:rsidR="006F2986">
        <w:rPr>
          <w:rFonts w:ascii="Palatino Linotype" w:hAnsi="Palatino Linotype" w:cs="Arial"/>
          <w:lang w:val="es-MX"/>
        </w:rPr>
        <w:t>ebía</w:t>
      </w:r>
      <w:r w:rsidR="00F43237">
        <w:rPr>
          <w:rFonts w:ascii="Palatino Linotype" w:hAnsi="Palatino Linotype" w:cs="Arial"/>
          <w:lang w:val="es-MX"/>
        </w:rPr>
        <w:t xml:space="preserve"> obrar</w:t>
      </w:r>
      <w:r w:rsidR="00285CD1">
        <w:rPr>
          <w:rFonts w:ascii="Palatino Linotype" w:hAnsi="Palatino Linotype" w:cs="Arial"/>
          <w:lang w:val="es-MX"/>
        </w:rPr>
        <w:t xml:space="preserve"> </w:t>
      </w:r>
      <w:r w:rsidR="00734D98">
        <w:rPr>
          <w:rFonts w:ascii="Palatino Linotype" w:hAnsi="Palatino Linotype" w:cs="Arial"/>
          <w:lang w:val="es-MX"/>
        </w:rPr>
        <w:t>en los archivos del</w:t>
      </w:r>
      <w:r w:rsidR="00ED78BB" w:rsidRPr="00C8035B">
        <w:rPr>
          <w:rFonts w:ascii="Palatino Linotype" w:hAnsi="Palatino Linotype" w:cs="Arial"/>
          <w:lang w:val="es-MX"/>
        </w:rPr>
        <w:t xml:space="preserve"> </w:t>
      </w:r>
      <w:r w:rsidR="00ED78BB" w:rsidRPr="00C8035B">
        <w:rPr>
          <w:rFonts w:ascii="Palatino Linotype" w:hAnsi="Palatino Linotype" w:cs="Arial"/>
          <w:b/>
          <w:lang w:val="es-MX"/>
        </w:rPr>
        <w:t>SUJETO OBLIGADO</w:t>
      </w:r>
      <w:r w:rsidR="004769EB">
        <w:rPr>
          <w:rFonts w:ascii="Palatino Linotype" w:hAnsi="Palatino Linotype" w:cs="Arial"/>
          <w:lang w:val="es-MX"/>
        </w:rPr>
        <w:t>,</w:t>
      </w:r>
      <w:r w:rsidR="00E15CE2" w:rsidRPr="00C8035B">
        <w:rPr>
          <w:rFonts w:ascii="Palatino Linotype" w:hAnsi="Palatino Linotype" w:cs="Arial"/>
          <w:lang w:val="es-MX"/>
        </w:rPr>
        <w:t xml:space="preserve"> </w:t>
      </w:r>
      <w:r w:rsidR="004769EB">
        <w:rPr>
          <w:rFonts w:ascii="Palatino Linotype" w:hAnsi="Palatino Linotype" w:cs="Arial"/>
          <w:lang w:val="es-MX"/>
        </w:rPr>
        <w:t>aun cuando en las actuaciones del</w:t>
      </w:r>
      <w:r w:rsidRPr="00C8035B">
        <w:rPr>
          <w:rFonts w:ascii="Palatino Linotype" w:hAnsi="Palatino Linotype" w:cs="Arial"/>
          <w:lang w:val="es-MX"/>
        </w:rPr>
        <w:t xml:space="preserve"> expediente</w:t>
      </w:r>
      <w:r w:rsidR="004769EB">
        <w:rPr>
          <w:rFonts w:ascii="Palatino Linotype" w:hAnsi="Palatino Linotype" w:cs="Arial"/>
          <w:lang w:val="es-MX"/>
        </w:rPr>
        <w:t xml:space="preserve"> electrónico</w:t>
      </w:r>
      <w:r w:rsidRPr="00C8035B">
        <w:rPr>
          <w:rFonts w:ascii="Palatino Linotype" w:hAnsi="Palatino Linotype" w:cs="Arial"/>
          <w:lang w:val="es-MX"/>
        </w:rPr>
        <w:t xml:space="preserve"> no se advierte dicha circunstancia ni existen indicios tendientes a demostrar lo aseverado por la Ponencia </w:t>
      </w:r>
      <w:proofErr w:type="spellStart"/>
      <w:r w:rsidRPr="00C8035B">
        <w:rPr>
          <w:rFonts w:ascii="Palatino Linotype" w:hAnsi="Palatino Linotype" w:cs="Arial"/>
          <w:lang w:val="es-MX"/>
        </w:rPr>
        <w:t>Resolutora</w:t>
      </w:r>
      <w:proofErr w:type="spellEnd"/>
      <w:r w:rsidRPr="00C8035B">
        <w:rPr>
          <w:rFonts w:ascii="Palatino Linotype" w:hAnsi="Palatino Linotype" w:cs="Arial"/>
          <w:lang w:val="es-MX"/>
        </w:rPr>
        <w:t xml:space="preserve">. </w:t>
      </w:r>
    </w:p>
    <w:p w:rsidR="00440036" w:rsidRPr="00C8035B" w:rsidRDefault="00440036" w:rsidP="00A23390">
      <w:pPr>
        <w:spacing w:before="100" w:beforeAutospacing="1" w:after="100" w:afterAutospacing="1" w:line="360" w:lineRule="auto"/>
        <w:jc w:val="both"/>
        <w:rPr>
          <w:rFonts w:ascii="Palatino Linotype" w:hAnsi="Palatino Linotype" w:cs="Arial"/>
          <w:lang w:val="es-MX"/>
        </w:rPr>
      </w:pPr>
      <w:r w:rsidRPr="00C8035B">
        <w:rPr>
          <w:rFonts w:ascii="Palatino Linotype" w:hAnsi="Palatino Linotype" w:cs="Arial"/>
          <w:lang w:val="es-MX"/>
        </w:rPr>
        <w:t>En ese sentido, es menester r</w:t>
      </w:r>
      <w:r w:rsidR="00767B65" w:rsidRPr="00C8035B">
        <w:rPr>
          <w:rFonts w:ascii="Palatino Linotype" w:hAnsi="Palatino Linotype" w:cs="Arial"/>
          <w:lang w:val="es-MX"/>
        </w:rPr>
        <w:t>emitirse al</w:t>
      </w:r>
      <w:r w:rsidRPr="00C8035B">
        <w:rPr>
          <w:rFonts w:ascii="Palatino Linotype" w:hAnsi="Palatino Linotype" w:cs="Arial"/>
          <w:lang w:val="es-MX"/>
        </w:rPr>
        <w:t xml:space="preserve"> artículo 19 de la Ley de la materia</w:t>
      </w:r>
      <w:r w:rsidR="001A7CEE" w:rsidRPr="00C8035B">
        <w:rPr>
          <w:rFonts w:ascii="Palatino Linotype" w:hAnsi="Palatino Linotype" w:cs="Arial"/>
          <w:lang w:val="es-MX"/>
        </w:rPr>
        <w:t xml:space="preserve"> que a la letra dice</w:t>
      </w:r>
      <w:r w:rsidRPr="00C8035B">
        <w:rPr>
          <w:rFonts w:ascii="Palatino Linotype" w:hAnsi="Palatino Linotype" w:cs="Arial"/>
          <w:lang w:val="es-MX"/>
        </w:rPr>
        <w:t>:</w:t>
      </w:r>
    </w:p>
    <w:p w:rsidR="00C8035B" w:rsidRPr="00C8035B"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b/>
          <w:i/>
          <w:sz w:val="22"/>
          <w:lang w:val="es-MX"/>
        </w:rPr>
        <w:t>Artículo 19.</w:t>
      </w:r>
      <w:r w:rsidRPr="00C8035B">
        <w:rPr>
          <w:rFonts w:ascii="Palatino Linotype" w:hAnsi="Palatino Linotype" w:cs="Arial"/>
          <w:i/>
          <w:sz w:val="22"/>
          <w:lang w:val="es-MX"/>
        </w:rPr>
        <w:t xml:space="preserve"> Se presume que la información debe existir si se refiere a las facultades, competencias y funciones que los ordenamientos jurídicos aplicables otorgan a los sujetos obligados.</w:t>
      </w:r>
    </w:p>
    <w:p w:rsidR="00C8035B" w:rsidRPr="00C8035B"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i/>
          <w:sz w:val="22"/>
          <w:lang w:val="es-MX"/>
        </w:rPr>
        <w:t>En los casos en que ciertas facultades, competencias o funciones no se hayan ejercido, se debe motivar la respuesta en función de las causas que motiven tal circunstancia.</w:t>
      </w:r>
    </w:p>
    <w:p w:rsidR="008F34EF" w:rsidRDefault="00440036" w:rsidP="0050629D">
      <w:pPr>
        <w:spacing w:before="100" w:beforeAutospacing="1" w:after="100" w:afterAutospacing="1"/>
        <w:ind w:left="709" w:right="1325"/>
        <w:jc w:val="both"/>
        <w:rPr>
          <w:rFonts w:ascii="Palatino Linotype" w:hAnsi="Palatino Linotype" w:cs="Arial"/>
          <w:i/>
          <w:sz w:val="22"/>
          <w:lang w:val="es-MX"/>
        </w:rPr>
      </w:pPr>
      <w:r w:rsidRPr="00C8035B">
        <w:rPr>
          <w:rFonts w:ascii="Palatino Linotype" w:hAnsi="Palatino Linotype" w:cs="Arial"/>
          <w:i/>
          <w:sz w:val="22"/>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6F2986" w:rsidRPr="0050629D" w:rsidRDefault="006F2986" w:rsidP="0050629D">
      <w:pPr>
        <w:spacing w:before="100" w:beforeAutospacing="1" w:after="100" w:afterAutospacing="1"/>
        <w:ind w:left="709" w:right="1325"/>
        <w:jc w:val="both"/>
        <w:rPr>
          <w:rFonts w:ascii="Palatino Linotype" w:hAnsi="Palatino Linotype" w:cs="Arial"/>
          <w:i/>
          <w:sz w:val="22"/>
          <w:lang w:val="es-MX"/>
        </w:rPr>
      </w:pPr>
    </w:p>
    <w:p w:rsidR="008C77DB" w:rsidRDefault="00440036" w:rsidP="00A23390">
      <w:pPr>
        <w:spacing w:before="100" w:beforeAutospacing="1" w:after="100" w:afterAutospacing="1" w:line="360" w:lineRule="auto"/>
        <w:jc w:val="both"/>
        <w:rPr>
          <w:rFonts w:ascii="Palatino Linotype" w:hAnsi="Palatino Linotype" w:cs="Arial"/>
        </w:rPr>
      </w:pPr>
      <w:r w:rsidRPr="00C8035B">
        <w:rPr>
          <w:rFonts w:ascii="Palatino Linotype" w:hAnsi="Palatino Linotype" w:cs="Arial"/>
          <w:lang w:val="es-MX"/>
        </w:rPr>
        <w:t xml:space="preserve">De lo anterior, el </w:t>
      </w:r>
      <w:r w:rsidR="005C7C8F" w:rsidRPr="00C8035B">
        <w:rPr>
          <w:rFonts w:ascii="Palatino Linotype" w:hAnsi="Palatino Linotype" w:cs="Arial"/>
          <w:lang w:val="es-MX"/>
        </w:rPr>
        <w:t xml:space="preserve">citado </w:t>
      </w:r>
      <w:r w:rsidRPr="00C8035B">
        <w:rPr>
          <w:rFonts w:ascii="Palatino Linotype" w:hAnsi="Palatino Linotype" w:cs="Arial"/>
          <w:lang w:val="es-MX"/>
        </w:rPr>
        <w:t>artículo señala que</w:t>
      </w:r>
      <w:r w:rsidR="005C7C8F" w:rsidRPr="00C8035B">
        <w:rPr>
          <w:rFonts w:ascii="Palatino Linotype" w:hAnsi="Palatino Linotype" w:cs="Arial"/>
          <w:lang w:val="es-MX"/>
        </w:rPr>
        <w:t>,</w:t>
      </w:r>
      <w:r w:rsidRPr="00C8035B">
        <w:rPr>
          <w:rFonts w:ascii="Palatino Linotype" w:hAnsi="Palatino Linotype" w:cs="Arial"/>
          <w:lang w:val="es-MX"/>
        </w:rPr>
        <w:t xml:space="preserve"> se presume que la información existe en razón de las funciones</w:t>
      </w:r>
      <w:r w:rsidR="00F26150" w:rsidRPr="00C8035B">
        <w:rPr>
          <w:rFonts w:ascii="Palatino Linotype" w:hAnsi="Palatino Linotype" w:cs="Arial"/>
          <w:lang w:val="es-MX"/>
        </w:rPr>
        <w:t xml:space="preserve"> del </w:t>
      </w:r>
      <w:r w:rsidR="00F26150" w:rsidRPr="00C8035B">
        <w:rPr>
          <w:rFonts w:ascii="Palatino Linotype" w:hAnsi="Palatino Linotype" w:cs="Arial"/>
          <w:b/>
          <w:lang w:val="es-MX"/>
        </w:rPr>
        <w:t>SUJETO OBLIGADO</w:t>
      </w:r>
      <w:r w:rsidR="008F34EF" w:rsidRPr="00C8035B">
        <w:rPr>
          <w:rFonts w:ascii="Palatino Linotype" w:eastAsiaTheme="minorHAnsi" w:hAnsi="Palatino Linotype" w:cs="Arial"/>
          <w:bCs/>
          <w:color w:val="000000" w:themeColor="text1"/>
          <w:lang w:val="es-MX" w:eastAsia="en-US"/>
        </w:rPr>
        <w:t>; es así que</w:t>
      </w:r>
      <w:r w:rsidR="00C33AE1" w:rsidRPr="00C8035B">
        <w:rPr>
          <w:rFonts w:ascii="Palatino Linotype" w:eastAsiaTheme="minorHAnsi" w:hAnsi="Palatino Linotype" w:cs="Arial"/>
          <w:bCs/>
          <w:color w:val="000000" w:themeColor="text1"/>
          <w:lang w:val="es-MX" w:eastAsia="en-US"/>
        </w:rPr>
        <w:t>,</w:t>
      </w:r>
      <w:r w:rsidR="00E415A4" w:rsidRPr="00C8035B">
        <w:rPr>
          <w:rFonts w:ascii="Palatino Linotype" w:eastAsiaTheme="minorHAnsi" w:hAnsi="Palatino Linotype" w:cs="Arial"/>
          <w:bCs/>
          <w:color w:val="000000" w:themeColor="text1"/>
          <w:lang w:val="es-MX" w:eastAsia="en-US"/>
        </w:rPr>
        <w:t xml:space="preserve"> </w:t>
      </w:r>
      <w:r w:rsidRPr="00C8035B">
        <w:rPr>
          <w:rFonts w:ascii="Palatino Linotype" w:hAnsi="Palatino Linotype" w:cs="Arial"/>
        </w:rPr>
        <w:t xml:space="preserve">dicho pronunciamiento que se ordena al </w:t>
      </w:r>
      <w:r w:rsidRPr="00C8035B">
        <w:rPr>
          <w:rFonts w:ascii="Palatino Linotype" w:hAnsi="Palatino Linotype" w:cs="Arial"/>
          <w:b/>
        </w:rPr>
        <w:t>SUJETO OBLIGADO</w:t>
      </w:r>
      <w:r w:rsidRPr="00C8035B">
        <w:rPr>
          <w:rFonts w:ascii="Palatino Linotype" w:hAnsi="Palatino Linotype" w:cs="Arial"/>
        </w:rPr>
        <w:t xml:space="preserve"> supondría afirmar que </w:t>
      </w:r>
      <w:r w:rsidR="00914A00">
        <w:rPr>
          <w:rFonts w:ascii="Palatino Linotype" w:hAnsi="Palatino Linotype" w:cs="Arial"/>
        </w:rPr>
        <w:t>efectivamente</w:t>
      </w:r>
      <w:r w:rsidR="009537F8">
        <w:rPr>
          <w:rFonts w:ascii="Palatino Linotype" w:hAnsi="Palatino Linotype" w:cs="Arial"/>
        </w:rPr>
        <w:t xml:space="preserve"> </w:t>
      </w:r>
      <w:r w:rsidR="00C9510C">
        <w:rPr>
          <w:rFonts w:ascii="Palatino Linotype" w:hAnsi="Palatino Linotype" w:cs="Arial"/>
        </w:rPr>
        <w:t>existió un dictamen de reconducción</w:t>
      </w:r>
      <w:r w:rsidR="00641735">
        <w:rPr>
          <w:rFonts w:ascii="Palatino Linotype" w:hAnsi="Palatino Linotype" w:cs="Arial"/>
        </w:rPr>
        <w:t xml:space="preserve">. </w:t>
      </w:r>
    </w:p>
    <w:p w:rsidR="006F2986" w:rsidRDefault="00F27F5C" w:rsidP="00A23390">
      <w:pPr>
        <w:autoSpaceDE w:val="0"/>
        <w:autoSpaceDN w:val="0"/>
        <w:adjustRightInd w:val="0"/>
        <w:spacing w:before="100" w:beforeAutospacing="1" w:after="100" w:afterAutospacing="1" w:line="360" w:lineRule="auto"/>
        <w:ind w:right="18"/>
        <w:jc w:val="both"/>
        <w:rPr>
          <w:rFonts w:ascii="Palatino Linotype" w:hAnsi="Palatino Linotype"/>
        </w:rPr>
      </w:pPr>
      <w:r>
        <w:rPr>
          <w:rFonts w:ascii="Palatino Linotype" w:hAnsi="Palatino Linotype"/>
        </w:rPr>
        <w:t>De lo anterior</w:t>
      </w:r>
      <w:r w:rsidR="008C77DB" w:rsidRPr="000B2903">
        <w:rPr>
          <w:rFonts w:ascii="Palatino Linotype" w:hAnsi="Palatino Linotype"/>
        </w:rPr>
        <w:t xml:space="preserve">, y de conformidad con </w:t>
      </w:r>
      <w:r w:rsidR="004769EB">
        <w:rPr>
          <w:rFonts w:ascii="Palatino Linotype" w:hAnsi="Palatino Linotype"/>
        </w:rPr>
        <w:t>lo establecido en el artículo 4</w:t>
      </w:r>
      <w:r w:rsidR="008C77DB" w:rsidRPr="000B2903">
        <w:rPr>
          <w:rFonts w:ascii="Palatino Linotype" w:hAnsi="Palatino Linotype"/>
        </w:rPr>
        <w:t xml:space="preserve"> de la Ley de Transparencia y Acceso a la Información Pública del Estado de México y Municipios</w:t>
      </w:r>
      <w:r w:rsidR="00285CD1">
        <w:rPr>
          <w:rFonts w:ascii="Palatino Linotype" w:hAnsi="Palatino Linotype"/>
        </w:rPr>
        <w:t>,</w:t>
      </w:r>
      <w:r w:rsidR="008C77DB" w:rsidRPr="000B2903">
        <w:rPr>
          <w:rFonts w:ascii="Palatino Linotype" w:hAnsi="Palatino Linotype"/>
        </w:rPr>
        <w:t xml:space="preserve"> </w:t>
      </w:r>
      <w:r w:rsidR="008C77DB" w:rsidRPr="008C77DB">
        <w:rPr>
          <w:rFonts w:ascii="Palatino Linotype" w:hAnsi="Palatino Linotype"/>
          <w:b/>
        </w:rPr>
        <w:t>EL SUJETO OBLIGADO</w:t>
      </w:r>
      <w:r w:rsidR="008C77DB" w:rsidRPr="000B2903">
        <w:rPr>
          <w:rFonts w:ascii="Palatino Linotype" w:hAnsi="Palatino Linotype"/>
        </w:rPr>
        <w:t xml:space="preserve"> sólo proporcionará la información que obra en sus archivos, lo que a</w:t>
      </w:r>
      <w:r w:rsidR="008C77DB" w:rsidRPr="000B2903">
        <w:rPr>
          <w:rFonts w:ascii="Palatino Linotype" w:hAnsi="Palatino Linotype"/>
          <w:i/>
        </w:rPr>
        <w:t xml:space="preserve"> contrario sensu</w:t>
      </w:r>
      <w:r w:rsidR="008C77DB" w:rsidRPr="000B2903">
        <w:rPr>
          <w:rFonts w:ascii="Palatino Linotype" w:hAnsi="Palatino Linotype"/>
        </w:rPr>
        <w:t xml:space="preserve"> significa que no se está obligado a proporciona</w:t>
      </w:r>
      <w:r w:rsidR="008E247D">
        <w:rPr>
          <w:rFonts w:ascii="Palatino Linotype" w:hAnsi="Palatino Linotype"/>
        </w:rPr>
        <w:t>r lo que no obre en los mismos</w:t>
      </w:r>
      <w:r w:rsidR="008C77DB">
        <w:rPr>
          <w:rFonts w:ascii="Palatino Linotype" w:hAnsi="Palatino Linotype"/>
        </w:rPr>
        <w:t>.</w:t>
      </w:r>
    </w:p>
    <w:p w:rsidR="00E15CE2" w:rsidRPr="00C8035B" w:rsidRDefault="0050629D" w:rsidP="0050629D">
      <w:pPr>
        <w:spacing w:line="360" w:lineRule="auto"/>
        <w:jc w:val="both"/>
        <w:rPr>
          <w:rFonts w:ascii="Palatino Linotype" w:hAnsi="Palatino Linotype" w:cs="Arial"/>
        </w:rPr>
      </w:pPr>
      <w:r>
        <w:rPr>
          <w:rFonts w:ascii="Palatino Linotype" w:hAnsi="Palatino Linotype" w:cs="Arial"/>
        </w:rPr>
        <w:t xml:space="preserve">Atento a lo expuesto, la que suscribe emite </w:t>
      </w:r>
      <w:r w:rsidRPr="003031E1">
        <w:rPr>
          <w:rFonts w:ascii="Palatino Linotype" w:hAnsi="Palatino Linotype" w:cs="Arial"/>
          <w:b/>
        </w:rPr>
        <w:t>VOTO PARTICULAR</w:t>
      </w:r>
      <w:r>
        <w:rPr>
          <w:rFonts w:ascii="Palatino Linotype" w:hAnsi="Palatino Linotype" w:cs="Arial"/>
        </w:rPr>
        <w:t>, pues se insiste que la Ley de Transparencia y Acceso a la Información Pública del Estado de México y Municipios no faculta a este Instituto para ordenar que los</w:t>
      </w:r>
      <w:r w:rsidRPr="00A25BC3">
        <w:rPr>
          <w:rFonts w:ascii="Palatino Linotype" w:hAnsi="Palatino Linotype" w:cs="Arial"/>
          <w:b/>
        </w:rPr>
        <w:t xml:space="preserve"> </w:t>
      </w:r>
      <w:r w:rsidRPr="00011B22">
        <w:rPr>
          <w:rFonts w:ascii="Palatino Linotype" w:hAnsi="Palatino Linotype" w:cs="Arial"/>
        </w:rPr>
        <w:t>Sujeto</w:t>
      </w:r>
      <w:r>
        <w:rPr>
          <w:rFonts w:ascii="Palatino Linotype" w:hAnsi="Palatino Linotype" w:cs="Arial"/>
        </w:rPr>
        <w:t>s</w:t>
      </w:r>
      <w:r w:rsidRPr="00011B22">
        <w:rPr>
          <w:rFonts w:ascii="Palatino Linotype" w:hAnsi="Palatino Linotype" w:cs="Arial"/>
        </w:rPr>
        <w:t xml:space="preserve"> Obligado</w:t>
      </w:r>
      <w:r>
        <w:rPr>
          <w:rFonts w:ascii="Palatino Linotype" w:hAnsi="Palatino Linotype" w:cs="Arial"/>
        </w:rPr>
        <w:t>s</w:t>
      </w:r>
      <w:r w:rsidRPr="00011B22">
        <w:rPr>
          <w:rFonts w:ascii="Palatino Linotype" w:hAnsi="Palatino Linotype" w:cs="Arial"/>
        </w:rPr>
        <w:t xml:space="preserve"> </w:t>
      </w:r>
      <w:r>
        <w:rPr>
          <w:rFonts w:ascii="Palatino Linotype" w:hAnsi="Palatino Linotype" w:cs="Arial"/>
        </w:rPr>
        <w:t xml:space="preserve">motiven las causas por las que no se generó la información si dicho acto o </w:t>
      </w:r>
      <w:r w:rsidR="008E247D">
        <w:rPr>
          <w:rFonts w:ascii="Palatino Linotype" w:hAnsi="Palatino Linotype" w:cs="Arial"/>
        </w:rPr>
        <w:t>hecho no aconteció</w:t>
      </w:r>
      <w:r w:rsidR="00C9510C">
        <w:rPr>
          <w:rFonts w:ascii="Palatino Linotype" w:hAnsi="Palatino Linotype" w:cs="Arial"/>
        </w:rPr>
        <w:t>, es decir, al tratarse de una facultad potestaiva.</w:t>
      </w:r>
      <w:r>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D107F9" w:rsidRDefault="00D107F9" w:rsidP="00A23390">
            <w:pPr>
              <w:spacing w:before="100" w:beforeAutospacing="1" w:after="100" w:afterAutospacing="1" w:line="360" w:lineRule="auto"/>
              <w:rPr>
                <w:rFonts w:ascii="Palatino Linotype" w:hAnsi="Palatino Linotype"/>
                <w:b/>
              </w:rPr>
            </w:pPr>
          </w:p>
          <w:p w:rsidR="00837742" w:rsidRPr="00C8035B" w:rsidRDefault="00837742" w:rsidP="00A23390">
            <w:pPr>
              <w:spacing w:before="100" w:beforeAutospacing="1" w:after="100" w:afterAutospacing="1" w:line="360" w:lineRule="auto"/>
              <w:rPr>
                <w:rFonts w:ascii="Palatino Linotype" w:hAnsi="Palatino Linotype"/>
                <w:b/>
              </w:rPr>
            </w:pPr>
          </w:p>
          <w:p w:rsidR="006F2986" w:rsidRDefault="006F2986" w:rsidP="00837742">
            <w:pPr>
              <w:jc w:val="center"/>
              <w:rPr>
                <w:rFonts w:ascii="Palatino Linotype" w:hAnsi="Palatino Linotype"/>
                <w:b/>
              </w:rPr>
            </w:pPr>
          </w:p>
          <w:p w:rsidR="006F2986" w:rsidRDefault="006F2986" w:rsidP="00837742">
            <w:pPr>
              <w:jc w:val="center"/>
              <w:rPr>
                <w:rFonts w:ascii="Palatino Linotype" w:hAnsi="Palatino Linotype"/>
                <w:b/>
              </w:rPr>
            </w:pPr>
          </w:p>
          <w:p w:rsidR="006F2986" w:rsidRDefault="006F2986" w:rsidP="00837742">
            <w:pPr>
              <w:jc w:val="center"/>
              <w:rPr>
                <w:rFonts w:ascii="Palatino Linotype" w:hAnsi="Palatino Linotype"/>
                <w:b/>
              </w:rPr>
            </w:pPr>
          </w:p>
          <w:p w:rsidR="006E471C" w:rsidRDefault="006E471C" w:rsidP="00837742">
            <w:pPr>
              <w:jc w:val="center"/>
              <w:rPr>
                <w:rFonts w:ascii="Palatino Linotype" w:hAnsi="Palatino Linotype"/>
                <w:b/>
              </w:rPr>
            </w:pPr>
          </w:p>
          <w:p w:rsidR="006E471C" w:rsidRDefault="006E471C" w:rsidP="00837742">
            <w:pPr>
              <w:jc w:val="center"/>
              <w:rPr>
                <w:rFonts w:ascii="Palatino Linotype" w:hAnsi="Palatino Linotype"/>
                <w:b/>
              </w:rPr>
            </w:pPr>
          </w:p>
          <w:p w:rsidR="006E471C" w:rsidRDefault="006E471C" w:rsidP="00837742">
            <w:pPr>
              <w:jc w:val="center"/>
              <w:rPr>
                <w:rFonts w:ascii="Palatino Linotype" w:hAnsi="Palatino Linotype"/>
                <w:b/>
              </w:rPr>
            </w:pPr>
          </w:p>
          <w:p w:rsidR="006E471C" w:rsidRDefault="006E471C" w:rsidP="00837742">
            <w:pPr>
              <w:jc w:val="center"/>
              <w:rPr>
                <w:rFonts w:ascii="Palatino Linotype" w:hAnsi="Palatino Linotype"/>
                <w:b/>
              </w:rPr>
            </w:pPr>
          </w:p>
          <w:p w:rsidR="006E471C" w:rsidRDefault="006E471C" w:rsidP="00837742">
            <w:pPr>
              <w:jc w:val="center"/>
              <w:rPr>
                <w:rFonts w:ascii="Palatino Linotype" w:hAnsi="Palatino Linotype"/>
                <w:b/>
              </w:rPr>
            </w:pPr>
          </w:p>
          <w:p w:rsidR="006E471C" w:rsidRDefault="006E471C" w:rsidP="00837742">
            <w:pPr>
              <w:jc w:val="center"/>
              <w:rPr>
                <w:rFonts w:ascii="Palatino Linotype" w:hAnsi="Palatino Linotype"/>
                <w:b/>
              </w:rPr>
            </w:pPr>
          </w:p>
          <w:p w:rsidR="006F2986" w:rsidRDefault="006F2986" w:rsidP="00837742">
            <w:pPr>
              <w:jc w:val="center"/>
              <w:rPr>
                <w:rFonts w:ascii="Palatino Linotype" w:hAnsi="Palatino Linotype"/>
                <w:b/>
              </w:rPr>
            </w:pPr>
          </w:p>
          <w:p w:rsidR="006F2986" w:rsidRDefault="006F2986" w:rsidP="00837742">
            <w:pPr>
              <w:jc w:val="center"/>
              <w:rPr>
                <w:rFonts w:ascii="Palatino Linotype" w:hAnsi="Palatino Linotype"/>
                <w:b/>
              </w:rPr>
            </w:pPr>
          </w:p>
          <w:p w:rsidR="009701AB" w:rsidRPr="00C8035B" w:rsidRDefault="009701AB" w:rsidP="00837742">
            <w:pPr>
              <w:jc w:val="center"/>
              <w:rPr>
                <w:rFonts w:ascii="Palatino Linotype" w:hAnsi="Palatino Linotype"/>
                <w:b/>
              </w:rPr>
            </w:pPr>
            <w:r w:rsidRPr="00C8035B">
              <w:rPr>
                <w:rFonts w:ascii="Palatino Linotype" w:hAnsi="Palatino Linotype"/>
                <w:b/>
              </w:rPr>
              <w:t>EVA ABAID YAPUR</w:t>
            </w:r>
          </w:p>
          <w:p w:rsidR="009701AB" w:rsidRDefault="009701AB" w:rsidP="006E471C">
            <w:pPr>
              <w:jc w:val="center"/>
              <w:rPr>
                <w:rFonts w:ascii="Palatino Linotype" w:hAnsi="Palatino Linotype"/>
                <w:b/>
              </w:rPr>
            </w:pPr>
            <w:r w:rsidRPr="00C8035B">
              <w:rPr>
                <w:rFonts w:ascii="Palatino Linotype" w:hAnsi="Palatino Linotype"/>
                <w:b/>
              </w:rPr>
              <w:t>COMISIONADA</w:t>
            </w:r>
          </w:p>
          <w:p w:rsidR="00116E8D" w:rsidRPr="00C8035B" w:rsidRDefault="00116E8D" w:rsidP="006E471C">
            <w:pPr>
              <w:jc w:val="center"/>
              <w:rPr>
                <w:rFonts w:ascii="Palatino Linotype" w:hAnsi="Palatino Linotype"/>
                <w:b/>
              </w:rPr>
            </w:pPr>
            <w:r>
              <w:rPr>
                <w:rFonts w:ascii="Palatino Linotype" w:hAnsi="Palatino Linotype"/>
                <w:b/>
              </w:rPr>
              <w:t>(RÚBRICA)</w:t>
            </w:r>
            <w:bookmarkStart w:id="0" w:name="_GoBack"/>
            <w:bookmarkEnd w:id="0"/>
          </w:p>
        </w:tc>
      </w:tr>
    </w:tbl>
    <w:p w:rsidR="009537F8" w:rsidRDefault="009537F8" w:rsidP="00A23390">
      <w:pPr>
        <w:spacing w:before="100" w:beforeAutospacing="1" w:after="100" w:afterAutospacing="1"/>
        <w:jc w:val="both"/>
        <w:rPr>
          <w:rFonts w:ascii="Palatino Linotype" w:eastAsia="Calibri" w:hAnsi="Palatino Linotype" w:cs="Arial"/>
          <w:color w:val="000000" w:themeColor="text1"/>
          <w:sz w:val="18"/>
          <w:szCs w:val="20"/>
        </w:rPr>
      </w:pPr>
    </w:p>
    <w:p w:rsidR="009537F8" w:rsidRDefault="009537F8" w:rsidP="00A23390">
      <w:pPr>
        <w:spacing w:before="100" w:beforeAutospacing="1" w:after="100" w:afterAutospacing="1"/>
        <w:jc w:val="both"/>
        <w:rPr>
          <w:rFonts w:ascii="Palatino Linotype" w:eastAsia="Calibri" w:hAnsi="Palatino Linotype" w:cs="Arial"/>
          <w:color w:val="000000" w:themeColor="text1"/>
          <w:sz w:val="18"/>
          <w:szCs w:val="20"/>
        </w:rPr>
      </w:pPr>
    </w:p>
    <w:p w:rsidR="006F2986" w:rsidRDefault="006F2986" w:rsidP="00A23390">
      <w:pPr>
        <w:spacing w:before="100" w:beforeAutospacing="1" w:after="100" w:afterAutospacing="1"/>
        <w:jc w:val="both"/>
        <w:rPr>
          <w:rFonts w:ascii="Palatino Linotype" w:eastAsia="Calibri" w:hAnsi="Palatino Linotype" w:cs="Arial"/>
          <w:color w:val="000000" w:themeColor="text1"/>
          <w:sz w:val="18"/>
          <w:szCs w:val="20"/>
        </w:rPr>
      </w:pPr>
    </w:p>
    <w:p w:rsidR="00BD7B83" w:rsidRDefault="00BD7B83" w:rsidP="006F2986">
      <w:pPr>
        <w:spacing w:before="100" w:beforeAutospacing="1" w:after="100" w:afterAutospacing="1"/>
        <w:jc w:val="both"/>
        <w:rPr>
          <w:rFonts w:ascii="Palatino Linotype" w:eastAsia="Calibri" w:hAnsi="Palatino Linotype" w:cs="Arial"/>
          <w:color w:val="000000" w:themeColor="text1"/>
          <w:sz w:val="18"/>
          <w:szCs w:val="20"/>
        </w:rPr>
      </w:pPr>
    </w:p>
    <w:p w:rsidR="00463EE4" w:rsidRDefault="009701AB" w:rsidP="006E471C">
      <w:pPr>
        <w:jc w:val="both"/>
        <w:rPr>
          <w:rFonts w:ascii="Palatino Linotype" w:eastAsia="Calibri" w:hAnsi="Palatino Linotype" w:cs="Arial"/>
          <w:color w:val="000000" w:themeColor="text1"/>
          <w:sz w:val="20"/>
          <w:szCs w:val="20"/>
        </w:rPr>
      </w:pPr>
      <w:r w:rsidRPr="006E471C">
        <w:rPr>
          <w:rFonts w:ascii="Palatino Linotype" w:eastAsia="Calibri" w:hAnsi="Palatino Linotype" w:cs="Arial"/>
          <w:color w:val="000000" w:themeColor="text1"/>
          <w:sz w:val="20"/>
          <w:szCs w:val="20"/>
        </w:rPr>
        <w:t xml:space="preserve">Esta hoja corresponde </w:t>
      </w:r>
      <w:r w:rsidR="00A23390" w:rsidRPr="006E471C">
        <w:rPr>
          <w:rFonts w:ascii="Palatino Linotype" w:eastAsia="Calibri" w:hAnsi="Palatino Linotype" w:cs="Arial"/>
          <w:color w:val="000000" w:themeColor="text1"/>
          <w:sz w:val="20"/>
          <w:szCs w:val="20"/>
        </w:rPr>
        <w:t xml:space="preserve">al voto particular </w:t>
      </w:r>
      <w:r w:rsidR="006F2986" w:rsidRPr="006E471C">
        <w:rPr>
          <w:rFonts w:ascii="Palatino Linotype" w:eastAsia="Calibri" w:hAnsi="Palatino Linotype" w:cs="Arial"/>
          <w:color w:val="000000" w:themeColor="text1"/>
          <w:sz w:val="20"/>
          <w:szCs w:val="20"/>
        </w:rPr>
        <w:t xml:space="preserve">emitido en la resolución de los </w:t>
      </w:r>
      <w:r w:rsidRPr="006E471C">
        <w:rPr>
          <w:rFonts w:ascii="Palatino Linotype" w:eastAsia="Calibri" w:hAnsi="Palatino Linotype" w:cs="Arial"/>
          <w:color w:val="000000" w:themeColor="text1"/>
          <w:sz w:val="20"/>
          <w:szCs w:val="20"/>
        </w:rPr>
        <w:t>recurso</w:t>
      </w:r>
      <w:r w:rsidR="006F2986" w:rsidRPr="006E471C">
        <w:rPr>
          <w:rFonts w:ascii="Palatino Linotype" w:eastAsia="Calibri" w:hAnsi="Palatino Linotype" w:cs="Arial"/>
          <w:color w:val="000000" w:themeColor="text1"/>
          <w:sz w:val="20"/>
          <w:szCs w:val="20"/>
        </w:rPr>
        <w:t>s</w:t>
      </w:r>
      <w:r w:rsidRPr="006E471C">
        <w:rPr>
          <w:rFonts w:ascii="Palatino Linotype" w:eastAsia="Calibri" w:hAnsi="Palatino Linotype" w:cs="Arial"/>
          <w:color w:val="000000" w:themeColor="text1"/>
          <w:sz w:val="20"/>
          <w:szCs w:val="20"/>
        </w:rPr>
        <w:t xml:space="preserve"> de revisión </w:t>
      </w:r>
      <w:r w:rsidR="006F2986" w:rsidRPr="006E471C">
        <w:rPr>
          <w:rFonts w:ascii="Palatino Linotype" w:eastAsia="Calibri" w:hAnsi="Palatino Linotype" w:cs="Arial"/>
          <w:color w:val="000000" w:themeColor="text1"/>
          <w:sz w:val="20"/>
          <w:szCs w:val="20"/>
        </w:rPr>
        <w:t xml:space="preserve">acumulados </w:t>
      </w:r>
      <w:r w:rsidR="006F2986" w:rsidRPr="006E471C">
        <w:rPr>
          <w:rFonts w:ascii="Palatino Linotype" w:eastAsia="Calibri" w:hAnsi="Palatino Linotype" w:cs="Arial"/>
          <w:color w:val="000000" w:themeColor="text1"/>
          <w:spacing w:val="-20"/>
          <w:sz w:val="20"/>
          <w:szCs w:val="20"/>
        </w:rPr>
        <w:t>3108/INFOEM/IP/RR/2018, 3141/INFOEM/IP/RR/2018, 3142/INFOEM/IP/RR/2018 y 3143/INFOEM/IP/RR/2018</w:t>
      </w:r>
      <w:r w:rsidR="006E471C">
        <w:rPr>
          <w:rFonts w:ascii="Palatino Linotype" w:eastAsia="Calibri" w:hAnsi="Palatino Linotype" w:cs="Arial"/>
          <w:color w:val="000000" w:themeColor="text1"/>
          <w:sz w:val="20"/>
          <w:szCs w:val="20"/>
        </w:rPr>
        <w:t>, aprobado</w:t>
      </w:r>
      <w:r w:rsidRPr="006E471C">
        <w:rPr>
          <w:rFonts w:ascii="Palatino Linotype" w:eastAsia="Calibri" w:hAnsi="Palatino Linotype" w:cs="Arial"/>
          <w:color w:val="000000" w:themeColor="text1"/>
          <w:sz w:val="20"/>
          <w:szCs w:val="20"/>
        </w:rPr>
        <w:t xml:space="preserve"> el</w:t>
      </w:r>
      <w:r w:rsidR="00101AC9" w:rsidRPr="006E471C">
        <w:rPr>
          <w:rFonts w:ascii="Palatino Linotype" w:eastAsia="Calibri" w:hAnsi="Palatino Linotype" w:cs="Arial"/>
          <w:color w:val="000000" w:themeColor="text1"/>
          <w:sz w:val="20"/>
          <w:szCs w:val="20"/>
        </w:rPr>
        <w:t xml:space="preserve"> </w:t>
      </w:r>
      <w:r w:rsidR="006F2986" w:rsidRPr="006E471C">
        <w:rPr>
          <w:rFonts w:ascii="Palatino Linotype" w:eastAsia="Calibri" w:hAnsi="Palatino Linotype" w:cs="Arial"/>
          <w:color w:val="000000" w:themeColor="text1"/>
          <w:sz w:val="20"/>
          <w:szCs w:val="20"/>
        </w:rPr>
        <w:t>treinta y uno de octubre</w:t>
      </w:r>
      <w:r w:rsidR="001B2882" w:rsidRPr="006E471C">
        <w:rPr>
          <w:rFonts w:ascii="Palatino Linotype" w:eastAsia="Calibri" w:hAnsi="Palatino Linotype" w:cs="Arial"/>
          <w:color w:val="000000" w:themeColor="text1"/>
          <w:sz w:val="20"/>
          <w:szCs w:val="20"/>
        </w:rPr>
        <w:t xml:space="preserve"> de dos mil dieciocho</w:t>
      </w:r>
      <w:r w:rsidRPr="006E471C">
        <w:rPr>
          <w:rFonts w:ascii="Palatino Linotype" w:eastAsia="Calibri" w:hAnsi="Palatino Linotype" w:cs="Arial"/>
          <w:color w:val="000000" w:themeColor="text1"/>
          <w:sz w:val="20"/>
          <w:szCs w:val="20"/>
        </w:rPr>
        <w:t xml:space="preserve">. </w:t>
      </w:r>
    </w:p>
    <w:p w:rsidR="006E471C" w:rsidRPr="006E471C" w:rsidRDefault="006E471C" w:rsidP="006E471C">
      <w:pPr>
        <w:jc w:val="both"/>
        <w:rPr>
          <w:rFonts w:ascii="Palatino Linotype" w:eastAsia="Calibri" w:hAnsi="Palatino Linotype" w:cs="Arial"/>
          <w:color w:val="000000" w:themeColor="text1"/>
          <w:sz w:val="8"/>
          <w:szCs w:val="20"/>
        </w:rPr>
      </w:pPr>
    </w:p>
    <w:p w:rsidR="00DC5C4E" w:rsidRPr="00D107F9" w:rsidRDefault="009701AB" w:rsidP="006E471C">
      <w:pPr>
        <w:jc w:val="both"/>
        <w:rPr>
          <w:sz w:val="18"/>
          <w:szCs w:val="20"/>
        </w:rPr>
      </w:pPr>
      <w:r w:rsidRPr="006E471C">
        <w:rPr>
          <w:rFonts w:ascii="Palatino Linotype" w:eastAsia="Calibri" w:hAnsi="Palatino Linotype" w:cs="Arial"/>
          <w:color w:val="000000" w:themeColor="text1"/>
          <w:sz w:val="20"/>
          <w:szCs w:val="20"/>
        </w:rPr>
        <w:t>YSM/</w:t>
      </w:r>
      <w:r w:rsidR="001B2882" w:rsidRPr="006E471C">
        <w:rPr>
          <w:rFonts w:ascii="Palatino Linotype" w:eastAsia="Calibri" w:hAnsi="Palatino Linotype" w:cs="Arial"/>
          <w:color w:val="000000" w:themeColor="text1"/>
          <w:sz w:val="20"/>
          <w:szCs w:val="20"/>
        </w:rPr>
        <w:t>EJCA</w:t>
      </w:r>
    </w:p>
    <w:sectPr w:rsidR="00DC5C4E" w:rsidRPr="00D107F9"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1EB" w:rsidRDefault="006C01EB" w:rsidP="00E41B3B">
      <w:r>
        <w:separator/>
      </w:r>
    </w:p>
  </w:endnote>
  <w:endnote w:type="continuationSeparator" w:id="0">
    <w:p w:rsidR="006C01EB" w:rsidRDefault="006C01EB"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16E8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16E8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1EB" w:rsidRDefault="006C01EB" w:rsidP="00E41B3B">
      <w:r>
        <w:separator/>
      </w:r>
    </w:p>
  </w:footnote>
  <w:footnote w:type="continuationSeparator" w:id="0">
    <w:p w:rsidR="006C01EB" w:rsidRDefault="006C01EB"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16E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129" w:rsidRDefault="005C7C8F"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8B6129">
      <w:rPr>
        <w:rFonts w:ascii="Palatino Linotype" w:hAnsi="Palatino Linotype" w:cs="Arial"/>
        <w:sz w:val="20"/>
        <w:szCs w:val="20"/>
      </w:rPr>
      <w:t>S</w:t>
    </w:r>
    <w:r w:rsidRPr="00706042">
      <w:rPr>
        <w:rFonts w:ascii="Palatino Linotype" w:hAnsi="Palatino Linotype" w:cs="Arial"/>
        <w:sz w:val="20"/>
        <w:szCs w:val="20"/>
      </w:rPr>
      <w:t xml:space="preserve"> DE REVISIÓN </w:t>
    </w:r>
    <w:r w:rsidR="008B6129">
      <w:rPr>
        <w:rFonts w:ascii="Palatino Linotype" w:hAnsi="Palatino Linotype" w:cs="Arial"/>
        <w:sz w:val="20"/>
        <w:szCs w:val="20"/>
      </w:rPr>
      <w:t>ACUMULADOS</w:t>
    </w:r>
  </w:p>
  <w:p w:rsidR="008B6129" w:rsidRDefault="008B6129" w:rsidP="00DC5C4E">
    <w:pPr>
      <w:pStyle w:val="Encabezado"/>
      <w:tabs>
        <w:tab w:val="clear" w:pos="4252"/>
        <w:tab w:val="clear" w:pos="8504"/>
        <w:tab w:val="left" w:pos="2326"/>
      </w:tabs>
      <w:jc w:val="right"/>
      <w:rPr>
        <w:rFonts w:ascii="Palatino Linotype" w:hAnsi="Palatino Linotype" w:cs="Arial"/>
        <w:sz w:val="20"/>
        <w:szCs w:val="20"/>
      </w:rPr>
    </w:pPr>
    <w:r w:rsidRPr="008B6129">
      <w:rPr>
        <w:rFonts w:ascii="Palatino Linotype" w:hAnsi="Palatino Linotype" w:cs="Arial"/>
        <w:sz w:val="20"/>
        <w:szCs w:val="20"/>
      </w:rPr>
      <w:t xml:space="preserve">3108/INFOEM/IP/RR/2018, 3141/INFOEM/IP/RR/2018, </w:t>
    </w:r>
  </w:p>
  <w:p w:rsidR="005C7C8F" w:rsidRDefault="00C9510C"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3142/INFOEM/IP/RR/2018 Y</w:t>
    </w:r>
    <w:r w:rsidR="008B6129" w:rsidRPr="008B6129">
      <w:rPr>
        <w:rFonts w:ascii="Palatino Linotype" w:hAnsi="Palatino Linotype" w:cs="Arial"/>
        <w:sz w:val="20"/>
        <w:szCs w:val="20"/>
      </w:rPr>
      <w:t xml:space="preserve"> 3143/INFOEM/IP/RR/2018</w:t>
    </w:r>
  </w:p>
  <w:p w:rsidR="005C7C8F" w:rsidRDefault="00116E8D"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6.9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16E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A6BAF"/>
    <w:multiLevelType w:val="hybridMultilevel"/>
    <w:tmpl w:val="8CE48CCC"/>
    <w:lvl w:ilvl="0" w:tplc="9552ED1A">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1FB"/>
    <w:rsid w:val="00055DA2"/>
    <w:rsid w:val="00072E9A"/>
    <w:rsid w:val="00080305"/>
    <w:rsid w:val="00090AAC"/>
    <w:rsid w:val="00101AC9"/>
    <w:rsid w:val="00106889"/>
    <w:rsid w:val="00116E8D"/>
    <w:rsid w:val="00122242"/>
    <w:rsid w:val="00141D1C"/>
    <w:rsid w:val="00146755"/>
    <w:rsid w:val="00164D8A"/>
    <w:rsid w:val="00174F2A"/>
    <w:rsid w:val="0019398B"/>
    <w:rsid w:val="001A7CEE"/>
    <w:rsid w:val="001B2882"/>
    <w:rsid w:val="001B45FD"/>
    <w:rsid w:val="001C07DF"/>
    <w:rsid w:val="001C3DCD"/>
    <w:rsid w:val="001D69FC"/>
    <w:rsid w:val="001F2929"/>
    <w:rsid w:val="00216380"/>
    <w:rsid w:val="00270A69"/>
    <w:rsid w:val="00283E0B"/>
    <w:rsid w:val="00285CD1"/>
    <w:rsid w:val="00296C85"/>
    <w:rsid w:val="002C638A"/>
    <w:rsid w:val="002F482B"/>
    <w:rsid w:val="0031149D"/>
    <w:rsid w:val="00313B93"/>
    <w:rsid w:val="00324EBE"/>
    <w:rsid w:val="00331502"/>
    <w:rsid w:val="003343CD"/>
    <w:rsid w:val="00343A89"/>
    <w:rsid w:val="0036618D"/>
    <w:rsid w:val="003948FF"/>
    <w:rsid w:val="003A1BFA"/>
    <w:rsid w:val="003C2F6A"/>
    <w:rsid w:val="003C6346"/>
    <w:rsid w:val="003E17C7"/>
    <w:rsid w:val="00420511"/>
    <w:rsid w:val="0043533A"/>
    <w:rsid w:val="00437359"/>
    <w:rsid w:val="00440036"/>
    <w:rsid w:val="00446B28"/>
    <w:rsid w:val="00463114"/>
    <w:rsid w:val="00463EE4"/>
    <w:rsid w:val="0046519A"/>
    <w:rsid w:val="004769EB"/>
    <w:rsid w:val="0048207E"/>
    <w:rsid w:val="0048476A"/>
    <w:rsid w:val="004C16FA"/>
    <w:rsid w:val="004D5A29"/>
    <w:rsid w:val="004E6C48"/>
    <w:rsid w:val="004F667F"/>
    <w:rsid w:val="0050629D"/>
    <w:rsid w:val="0053148C"/>
    <w:rsid w:val="00537CDD"/>
    <w:rsid w:val="00571B2D"/>
    <w:rsid w:val="005779CE"/>
    <w:rsid w:val="005A4D7F"/>
    <w:rsid w:val="005C7C8F"/>
    <w:rsid w:val="005F3E71"/>
    <w:rsid w:val="00641735"/>
    <w:rsid w:val="0065035B"/>
    <w:rsid w:val="00654FE9"/>
    <w:rsid w:val="00661AD1"/>
    <w:rsid w:val="00672FC7"/>
    <w:rsid w:val="00674942"/>
    <w:rsid w:val="00674996"/>
    <w:rsid w:val="006801D4"/>
    <w:rsid w:val="00697966"/>
    <w:rsid w:val="006A1C64"/>
    <w:rsid w:val="006B109D"/>
    <w:rsid w:val="006B30CD"/>
    <w:rsid w:val="006C01EB"/>
    <w:rsid w:val="006D2575"/>
    <w:rsid w:val="006E471C"/>
    <w:rsid w:val="006F2986"/>
    <w:rsid w:val="00702D24"/>
    <w:rsid w:val="00712C80"/>
    <w:rsid w:val="00713C4A"/>
    <w:rsid w:val="007170C1"/>
    <w:rsid w:val="007219B6"/>
    <w:rsid w:val="00725B3B"/>
    <w:rsid w:val="00733C54"/>
    <w:rsid w:val="00734D98"/>
    <w:rsid w:val="00756313"/>
    <w:rsid w:val="00767B65"/>
    <w:rsid w:val="00773942"/>
    <w:rsid w:val="0078094D"/>
    <w:rsid w:val="007B06E6"/>
    <w:rsid w:val="007C3451"/>
    <w:rsid w:val="007C7A0C"/>
    <w:rsid w:val="00811B0B"/>
    <w:rsid w:val="00817572"/>
    <w:rsid w:val="00820D1B"/>
    <w:rsid w:val="00837742"/>
    <w:rsid w:val="00842E34"/>
    <w:rsid w:val="00853753"/>
    <w:rsid w:val="008542C4"/>
    <w:rsid w:val="00864D3F"/>
    <w:rsid w:val="00880DC2"/>
    <w:rsid w:val="00892096"/>
    <w:rsid w:val="008A35FA"/>
    <w:rsid w:val="008B0732"/>
    <w:rsid w:val="008B22AB"/>
    <w:rsid w:val="008B6129"/>
    <w:rsid w:val="008B70AA"/>
    <w:rsid w:val="008C16DF"/>
    <w:rsid w:val="008C77DB"/>
    <w:rsid w:val="008D33A8"/>
    <w:rsid w:val="008E247D"/>
    <w:rsid w:val="008E5C82"/>
    <w:rsid w:val="008F34EF"/>
    <w:rsid w:val="00914A00"/>
    <w:rsid w:val="00921F51"/>
    <w:rsid w:val="009537F8"/>
    <w:rsid w:val="009701AB"/>
    <w:rsid w:val="00972394"/>
    <w:rsid w:val="00990B93"/>
    <w:rsid w:val="009B3920"/>
    <w:rsid w:val="009B519C"/>
    <w:rsid w:val="009D1CB5"/>
    <w:rsid w:val="00A10D54"/>
    <w:rsid w:val="00A11081"/>
    <w:rsid w:val="00A23390"/>
    <w:rsid w:val="00A502D2"/>
    <w:rsid w:val="00A66652"/>
    <w:rsid w:val="00A956B4"/>
    <w:rsid w:val="00A96975"/>
    <w:rsid w:val="00A97455"/>
    <w:rsid w:val="00AB0719"/>
    <w:rsid w:val="00AE18DA"/>
    <w:rsid w:val="00AE2899"/>
    <w:rsid w:val="00AE3A95"/>
    <w:rsid w:val="00AE7810"/>
    <w:rsid w:val="00AF78ED"/>
    <w:rsid w:val="00B17086"/>
    <w:rsid w:val="00B31030"/>
    <w:rsid w:val="00B51260"/>
    <w:rsid w:val="00B64194"/>
    <w:rsid w:val="00B716F8"/>
    <w:rsid w:val="00BC3DF4"/>
    <w:rsid w:val="00BC6CF8"/>
    <w:rsid w:val="00BD7B83"/>
    <w:rsid w:val="00BF3CB4"/>
    <w:rsid w:val="00C07CE2"/>
    <w:rsid w:val="00C13981"/>
    <w:rsid w:val="00C14C62"/>
    <w:rsid w:val="00C33AE1"/>
    <w:rsid w:val="00C40AD7"/>
    <w:rsid w:val="00C52D7C"/>
    <w:rsid w:val="00C60EC0"/>
    <w:rsid w:val="00C71384"/>
    <w:rsid w:val="00C73CF6"/>
    <w:rsid w:val="00C8035B"/>
    <w:rsid w:val="00C9510C"/>
    <w:rsid w:val="00CB71BF"/>
    <w:rsid w:val="00CC3191"/>
    <w:rsid w:val="00CC4E44"/>
    <w:rsid w:val="00CD7154"/>
    <w:rsid w:val="00CE0D21"/>
    <w:rsid w:val="00CE1537"/>
    <w:rsid w:val="00CE70C8"/>
    <w:rsid w:val="00D06010"/>
    <w:rsid w:val="00D107F9"/>
    <w:rsid w:val="00D22D52"/>
    <w:rsid w:val="00D724F4"/>
    <w:rsid w:val="00DC0116"/>
    <w:rsid w:val="00DC41B0"/>
    <w:rsid w:val="00DC5C4E"/>
    <w:rsid w:val="00DC6C4E"/>
    <w:rsid w:val="00DF4164"/>
    <w:rsid w:val="00E15CE2"/>
    <w:rsid w:val="00E20B21"/>
    <w:rsid w:val="00E415A4"/>
    <w:rsid w:val="00E41B3B"/>
    <w:rsid w:val="00E441F3"/>
    <w:rsid w:val="00E55769"/>
    <w:rsid w:val="00E77C64"/>
    <w:rsid w:val="00EC4255"/>
    <w:rsid w:val="00ED3750"/>
    <w:rsid w:val="00ED78BB"/>
    <w:rsid w:val="00EF3885"/>
    <w:rsid w:val="00F04176"/>
    <w:rsid w:val="00F161E3"/>
    <w:rsid w:val="00F26150"/>
    <w:rsid w:val="00F27F5C"/>
    <w:rsid w:val="00F43237"/>
    <w:rsid w:val="00F4326E"/>
    <w:rsid w:val="00F50C10"/>
    <w:rsid w:val="00F64CC1"/>
    <w:rsid w:val="00F67EA5"/>
    <w:rsid w:val="00F67FFB"/>
    <w:rsid w:val="00F9070F"/>
    <w:rsid w:val="00FA0BF5"/>
    <w:rsid w:val="00FA46A6"/>
    <w:rsid w:val="00FA5FF8"/>
    <w:rsid w:val="00FC2815"/>
    <w:rsid w:val="00FD3B8E"/>
    <w:rsid w:val="00FF0E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5845-F998-40E6-A7B2-EEAB33C5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1162</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6</cp:revision>
  <cp:lastPrinted>2018-09-17T22:57:00Z</cp:lastPrinted>
  <dcterms:created xsi:type="dcterms:W3CDTF">2018-11-05T18:06:00Z</dcterms:created>
  <dcterms:modified xsi:type="dcterms:W3CDTF">2018-11-21T02:35:00Z</dcterms:modified>
</cp:coreProperties>
</file>